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5"/>
        <w:rPr>
          <w:rFonts w:ascii="宋体" w:hAnsi="宋体" w:eastAsia="宋体" w:cs="宋体"/>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rPr>
        <w:t>郑州市石佛水厂改造工程-竣工规划核实、土地核验</w:t>
      </w:r>
      <w:r>
        <w:rPr>
          <w:rFonts w:hint="eastAsia" w:ascii="宋体" w:hAnsi="宋体" w:cs="宋体"/>
          <w:b/>
          <w:bCs/>
          <w:color w:val="auto"/>
          <w:sz w:val="44"/>
          <w:szCs w:val="44"/>
          <w:highlight w:val="none"/>
          <w:lang w:eastAsia="zh-CN"/>
        </w:rPr>
        <w:t>测绘（</w:t>
      </w:r>
      <w:r>
        <w:rPr>
          <w:rFonts w:hint="eastAsia" w:ascii="宋体" w:hAnsi="宋体" w:cs="宋体"/>
          <w:b/>
          <w:bCs/>
          <w:color w:val="auto"/>
          <w:sz w:val="44"/>
          <w:szCs w:val="44"/>
          <w:highlight w:val="none"/>
          <w:lang w:val="en-US" w:eastAsia="zh-CN"/>
        </w:rPr>
        <w:t>二次</w:t>
      </w:r>
      <w:r>
        <w:rPr>
          <w:rFonts w:hint="eastAsia" w:ascii="宋体" w:hAnsi="宋体" w:cs="宋体"/>
          <w:b/>
          <w:bCs/>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883" w:firstLineChars="200"/>
        <w:jc w:val="center"/>
        <w:textAlignment w:val="auto"/>
        <w:rPr>
          <w:rFonts w:hint="eastAsia" w:ascii="宋体" w:hAnsi="宋体" w:cs="宋体"/>
          <w:b/>
          <w:bCs/>
          <w:color w:val="auto"/>
          <w:sz w:val="44"/>
          <w:szCs w:val="44"/>
          <w:highlight w:val="none"/>
          <w:shd w:val="clear" w:color="auto" w:fill="auto"/>
          <w:lang w:val="en-US" w:eastAsia="zh-CN"/>
        </w:rPr>
      </w:pPr>
    </w:p>
    <w:p>
      <w:pPr>
        <w:spacing w:line="360" w:lineRule="auto"/>
        <w:jc w:val="center"/>
        <w:rPr>
          <w:rFonts w:ascii="宋体" w:hAnsi="宋体" w:cs="宋体"/>
          <w:b/>
          <w:color w:val="auto"/>
          <w:sz w:val="32"/>
          <w:szCs w:val="32"/>
          <w:highlight w:val="none"/>
          <w:shd w:val="clear" w:color="auto" w:fill="auto"/>
        </w:rPr>
      </w:pPr>
    </w:p>
    <w:p>
      <w:pPr>
        <w:spacing w:line="360" w:lineRule="auto"/>
        <w:rPr>
          <w:rFonts w:ascii="宋体" w:hAnsi="宋体" w:cs="宋体"/>
          <w:b/>
          <w:color w:val="auto"/>
          <w:sz w:val="52"/>
          <w:szCs w:val="52"/>
          <w:highlight w:val="none"/>
          <w:shd w:val="clear" w:color="auto" w:fill="auto"/>
        </w:rPr>
      </w:pPr>
    </w:p>
    <w:p>
      <w:pPr>
        <w:pStyle w:val="47"/>
        <w:rPr>
          <w:rFonts w:ascii="宋体" w:hAnsi="宋体" w:cs="宋体"/>
          <w:b/>
          <w:color w:val="auto"/>
          <w:sz w:val="52"/>
          <w:szCs w:val="52"/>
          <w:highlight w:val="none"/>
          <w:shd w:val="clear" w:color="auto" w:fill="auto"/>
        </w:rPr>
      </w:pPr>
    </w:p>
    <w:p>
      <w:pPr>
        <w:pStyle w:val="47"/>
        <w:rPr>
          <w:rFonts w:ascii="宋体" w:hAnsi="宋体" w:cs="宋体"/>
          <w:b/>
          <w:color w:val="auto"/>
          <w:sz w:val="52"/>
          <w:szCs w:val="52"/>
          <w:highlight w:val="none"/>
          <w:shd w:val="clear" w:color="auto" w:fill="auto"/>
        </w:rPr>
      </w:pPr>
    </w:p>
    <w:p>
      <w:pPr>
        <w:spacing w:line="360" w:lineRule="auto"/>
        <w:jc w:val="center"/>
        <w:rPr>
          <w:rFonts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val="en-US" w:eastAsia="zh-CN"/>
        </w:rPr>
        <w:t>询比</w:t>
      </w:r>
      <w:r>
        <w:rPr>
          <w:rFonts w:hint="eastAsia" w:ascii="宋体" w:hAnsi="宋体" w:cs="宋体"/>
          <w:b/>
          <w:color w:val="auto"/>
          <w:sz w:val="72"/>
          <w:szCs w:val="72"/>
          <w:highlight w:val="none"/>
          <w:shd w:val="clear" w:color="auto" w:fill="auto"/>
        </w:rPr>
        <w:t>文件</w:t>
      </w:r>
    </w:p>
    <w:p>
      <w:pPr>
        <w:spacing w:line="360" w:lineRule="auto"/>
        <w:rPr>
          <w:rFonts w:ascii="宋体" w:hAnsi="宋体" w:cs="宋体"/>
          <w:b/>
          <w:color w:val="auto"/>
          <w:sz w:val="32"/>
          <w:szCs w:val="32"/>
          <w:highlight w:val="none"/>
          <w:shd w:val="clear" w:color="auto" w:fill="auto"/>
        </w:rPr>
      </w:pPr>
    </w:p>
    <w:p>
      <w:pPr>
        <w:pStyle w:val="47"/>
        <w:rPr>
          <w:rFonts w:ascii="宋体" w:hAnsi="宋体" w:cs="宋体"/>
          <w:b/>
          <w:color w:val="auto"/>
          <w:sz w:val="32"/>
          <w:szCs w:val="32"/>
          <w:highlight w:val="none"/>
          <w:shd w:val="clear" w:color="auto" w:fill="auto"/>
        </w:rPr>
      </w:pPr>
    </w:p>
    <w:p>
      <w:pPr>
        <w:pStyle w:val="47"/>
        <w:rPr>
          <w:rFonts w:ascii="宋体" w:hAnsi="宋体" w:cs="宋体"/>
          <w:b/>
          <w:color w:val="auto"/>
          <w:sz w:val="32"/>
          <w:szCs w:val="32"/>
          <w:highlight w:val="none"/>
          <w:shd w:val="clear" w:color="auto" w:fill="auto"/>
        </w:rPr>
      </w:pPr>
    </w:p>
    <w:p>
      <w:pPr>
        <w:pStyle w:val="47"/>
        <w:rPr>
          <w:rFonts w:ascii="宋体" w:hAnsi="宋体" w:cs="宋体"/>
          <w:b/>
          <w:color w:val="auto"/>
          <w:sz w:val="32"/>
          <w:szCs w:val="32"/>
          <w:highlight w:val="none"/>
          <w:shd w:val="clear" w:color="auto" w:fill="auto"/>
        </w:rPr>
      </w:pPr>
    </w:p>
    <w:p>
      <w:pPr>
        <w:spacing w:line="360" w:lineRule="auto"/>
        <w:jc w:val="center"/>
        <w:rPr>
          <w:rFonts w:hint="default" w:ascii="宋体" w:hAnsi="宋体" w:eastAsia="宋体" w:cs="宋体"/>
          <w:b/>
          <w:color w:val="auto"/>
          <w:sz w:val="32"/>
          <w:szCs w:val="32"/>
          <w:highlight w:val="none"/>
          <w:shd w:val="clear" w:color="auto" w:fill="auto"/>
          <w:lang w:val="en-US" w:eastAsia="zh-CN"/>
        </w:rPr>
      </w:pPr>
      <w:r>
        <w:rPr>
          <w:rFonts w:hint="eastAsia" w:ascii="宋体" w:hAnsi="宋体" w:cs="宋体"/>
          <w:b/>
          <w:color w:val="auto"/>
          <w:sz w:val="32"/>
          <w:szCs w:val="32"/>
          <w:highlight w:val="none"/>
          <w:shd w:val="clear" w:color="auto" w:fill="auto"/>
          <w:lang w:val="en-US" w:eastAsia="zh-CN"/>
        </w:rPr>
        <w:t>询比</w:t>
      </w:r>
      <w:r>
        <w:rPr>
          <w:rFonts w:hint="eastAsia" w:ascii="宋体" w:hAnsi="宋体" w:cs="宋体"/>
          <w:b/>
          <w:color w:val="auto"/>
          <w:sz w:val="32"/>
          <w:szCs w:val="32"/>
          <w:highlight w:val="none"/>
          <w:shd w:val="clear" w:color="auto" w:fill="auto"/>
        </w:rPr>
        <w:t>编号：ZS</w:t>
      </w:r>
      <w:r>
        <w:rPr>
          <w:rFonts w:hint="eastAsia" w:ascii="宋体" w:hAnsi="宋体" w:cs="宋体"/>
          <w:b/>
          <w:color w:val="auto"/>
          <w:sz w:val="32"/>
          <w:szCs w:val="32"/>
          <w:highlight w:val="none"/>
          <w:shd w:val="clear" w:color="auto" w:fill="auto"/>
          <w:lang w:val="en-US" w:eastAsia="zh-CN"/>
        </w:rPr>
        <w:t>SFGZ</w:t>
      </w:r>
      <w:r>
        <w:rPr>
          <w:rFonts w:hint="eastAsia" w:ascii="宋体" w:hAnsi="宋体" w:cs="宋体"/>
          <w:b/>
          <w:color w:val="auto"/>
          <w:sz w:val="32"/>
          <w:szCs w:val="32"/>
          <w:highlight w:val="none"/>
          <w:shd w:val="clear" w:color="auto" w:fill="auto"/>
        </w:rPr>
        <w:t>-202</w:t>
      </w:r>
      <w:r>
        <w:rPr>
          <w:rFonts w:hint="eastAsia" w:ascii="宋体" w:hAnsi="宋体" w:cs="宋体"/>
          <w:b/>
          <w:color w:val="auto"/>
          <w:sz w:val="32"/>
          <w:szCs w:val="32"/>
          <w:highlight w:val="none"/>
          <w:shd w:val="clear" w:color="auto" w:fill="auto"/>
          <w:lang w:val="en-US" w:eastAsia="zh-CN"/>
        </w:rPr>
        <w:t>5</w:t>
      </w:r>
      <w:r>
        <w:rPr>
          <w:rFonts w:hint="eastAsia" w:ascii="宋体" w:hAnsi="宋体" w:cs="宋体"/>
          <w:b/>
          <w:color w:val="auto"/>
          <w:sz w:val="32"/>
          <w:szCs w:val="32"/>
          <w:highlight w:val="none"/>
          <w:shd w:val="clear" w:color="auto" w:fill="auto"/>
        </w:rPr>
        <w:t>-</w:t>
      </w:r>
      <w:r>
        <w:rPr>
          <w:rFonts w:hint="eastAsia" w:ascii="宋体" w:hAnsi="宋体" w:cs="宋体"/>
          <w:b/>
          <w:color w:val="auto"/>
          <w:sz w:val="32"/>
          <w:szCs w:val="32"/>
          <w:highlight w:val="none"/>
          <w:shd w:val="clear" w:color="auto" w:fill="auto"/>
          <w:lang w:val="en-US" w:eastAsia="zh-CN"/>
        </w:rPr>
        <w:t>CF001</w:t>
      </w:r>
    </w:p>
    <w:p>
      <w:pPr>
        <w:spacing w:line="360" w:lineRule="auto"/>
        <w:ind w:firstLine="1486" w:firstLineChars="708"/>
        <w:rPr>
          <w:rFonts w:ascii="宋体" w:hAnsi="宋体" w:cs="宋体"/>
          <w:color w:val="auto"/>
          <w:szCs w:val="21"/>
          <w:highlight w:val="none"/>
          <w:shd w:val="clear" w:color="auto" w:fill="auto"/>
        </w:rPr>
      </w:pPr>
    </w:p>
    <w:p>
      <w:pPr>
        <w:spacing w:line="360" w:lineRule="auto"/>
        <w:rPr>
          <w:rFonts w:ascii="宋体" w:hAnsi="宋体" w:cs="宋体"/>
          <w:color w:val="auto"/>
          <w:szCs w:val="21"/>
          <w:highlight w:val="none"/>
          <w:shd w:val="clear" w:color="auto" w:fill="auto"/>
        </w:rPr>
      </w:pPr>
    </w:p>
    <w:p>
      <w:pPr>
        <w:spacing w:line="360" w:lineRule="auto"/>
        <w:rPr>
          <w:rFonts w:ascii="宋体" w:hAnsi="宋体" w:cs="宋体"/>
          <w:color w:val="auto"/>
          <w:szCs w:val="21"/>
          <w:highlight w:val="none"/>
          <w:shd w:val="clear" w:color="auto" w:fill="auto"/>
        </w:rPr>
      </w:pPr>
    </w:p>
    <w:p>
      <w:pPr>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val="en-US" w:eastAsia="zh-CN"/>
        </w:rPr>
        <w:t>询比</w:t>
      </w:r>
      <w:r>
        <w:rPr>
          <w:rFonts w:hint="eastAsia" w:ascii="宋体" w:hAnsi="宋体" w:cs="宋体"/>
          <w:b/>
          <w:color w:val="auto"/>
          <w:sz w:val="32"/>
          <w:szCs w:val="32"/>
          <w:highlight w:val="none"/>
          <w:shd w:val="clear" w:color="auto" w:fill="auto"/>
        </w:rPr>
        <w:t>人：郑州自来水投资控股有限公司</w:t>
      </w:r>
    </w:p>
    <w:p>
      <w:pPr>
        <w:jc w:val="center"/>
        <w:rPr>
          <w:rFonts w:ascii="宋体" w:hAnsi="宋体" w:cs="宋体"/>
          <w:b/>
          <w:color w:val="auto"/>
          <w:sz w:val="32"/>
          <w:szCs w:val="32"/>
          <w:highlight w:val="none"/>
          <w:shd w:val="clear" w:color="auto" w:fill="auto"/>
        </w:rPr>
      </w:pPr>
    </w:p>
    <w:p>
      <w:pPr>
        <w:jc w:val="center"/>
        <w:rPr>
          <w:rFonts w:ascii="宋体" w:hAnsi="宋体" w:cs="宋体"/>
          <w:b/>
          <w:color w:val="auto"/>
          <w:sz w:val="52"/>
          <w:highlight w:val="none"/>
          <w:shd w:val="clear" w:color="auto" w:fill="auto"/>
        </w:rPr>
      </w:pPr>
      <w:r>
        <w:rPr>
          <w:rFonts w:hint="eastAsia" w:ascii="宋体" w:hAnsi="宋体" w:cs="宋体"/>
          <w:b/>
          <w:color w:val="auto"/>
          <w:sz w:val="32"/>
          <w:szCs w:val="32"/>
          <w:highlight w:val="none"/>
          <w:shd w:val="clear" w:color="auto" w:fill="auto"/>
        </w:rPr>
        <w:t>202</w:t>
      </w:r>
      <w:r>
        <w:rPr>
          <w:rFonts w:hint="eastAsia" w:ascii="宋体" w:hAnsi="宋体" w:cs="宋体"/>
          <w:b/>
          <w:color w:val="auto"/>
          <w:sz w:val="32"/>
          <w:szCs w:val="32"/>
          <w:highlight w:val="none"/>
          <w:shd w:val="clear" w:color="auto" w:fill="auto"/>
          <w:lang w:val="en-US" w:eastAsia="zh-CN"/>
        </w:rPr>
        <w:t>5</w:t>
      </w:r>
      <w:r>
        <w:rPr>
          <w:rFonts w:hint="eastAsia" w:ascii="宋体" w:hAnsi="宋体" w:cs="宋体"/>
          <w:b/>
          <w:color w:val="auto"/>
          <w:sz w:val="32"/>
          <w:szCs w:val="32"/>
          <w:highlight w:val="none"/>
          <w:shd w:val="clear" w:color="auto" w:fill="auto"/>
        </w:rPr>
        <w:t>年</w:t>
      </w:r>
      <w:r>
        <w:rPr>
          <w:rFonts w:hint="eastAsia" w:ascii="宋体" w:hAnsi="宋体" w:cs="宋体"/>
          <w:b/>
          <w:color w:val="auto"/>
          <w:sz w:val="32"/>
          <w:szCs w:val="32"/>
          <w:highlight w:val="none"/>
          <w:shd w:val="clear" w:color="auto" w:fill="auto"/>
          <w:lang w:val="en-US" w:eastAsia="zh-CN"/>
        </w:rPr>
        <w:t>04</w:t>
      </w:r>
      <w:r>
        <w:rPr>
          <w:rFonts w:hint="eastAsia" w:ascii="宋体" w:hAnsi="宋体" w:cs="宋体"/>
          <w:b/>
          <w:color w:val="auto"/>
          <w:sz w:val="32"/>
          <w:szCs w:val="32"/>
          <w:highlight w:val="none"/>
          <w:shd w:val="clear" w:color="auto" w:fill="auto"/>
        </w:rPr>
        <w:t>月</w:t>
      </w:r>
      <w:r>
        <w:rPr>
          <w:rFonts w:hint="eastAsia" w:ascii="宋体" w:hAnsi="宋体" w:cs="宋体"/>
          <w:b/>
          <w:color w:val="auto"/>
          <w:sz w:val="52"/>
          <w:highlight w:val="none"/>
          <w:shd w:val="clear" w:color="auto" w:fill="auto"/>
        </w:rPr>
        <w:t xml:space="preserve">   </w:t>
      </w:r>
    </w:p>
    <w:p>
      <w:pPr>
        <w:widowControl/>
        <w:spacing w:line="360" w:lineRule="auto"/>
        <w:rPr>
          <w:rFonts w:ascii="宋体" w:hAnsi="宋体" w:cs="宋体"/>
          <w:color w:val="auto"/>
          <w:kern w:val="0"/>
          <w:sz w:val="44"/>
          <w:highlight w:val="none"/>
          <w:shd w:val="clear" w:color="auto" w:fill="auto"/>
        </w:rPr>
        <w:sectPr>
          <w:headerReference r:id="rId4" w:type="first"/>
          <w:footerReference r:id="rId6" w:type="first"/>
          <w:headerReference r:id="rId3" w:type="default"/>
          <w:footerReference r:id="rId5" w:type="default"/>
          <w:pgSz w:w="11906" w:h="16838"/>
          <w:pgMar w:top="1440" w:right="1803" w:bottom="1440" w:left="1803" w:header="851" w:footer="992" w:gutter="0"/>
          <w:pgNumType w:fmt="decimal"/>
          <w:cols w:space="720" w:num="1"/>
          <w:docGrid w:type="lines" w:linePitch="312" w:charSpace="0"/>
        </w:sectPr>
      </w:pPr>
    </w:p>
    <w:p>
      <w:pPr>
        <w:pStyle w:val="63"/>
        <w:shd w:val="clear" w:color="auto" w:fill="auto"/>
        <w:spacing w:after="80"/>
        <w:jc w:val="both"/>
        <w:rPr>
          <w:rFonts w:ascii="宋体" w:hAnsi="宋体" w:eastAsia="宋体" w:cs="宋体"/>
          <w:b/>
          <w:bCs/>
          <w:color w:val="auto"/>
          <w:sz w:val="24"/>
          <w:szCs w:val="24"/>
          <w:highlight w:val="none"/>
          <w:shd w:val="clear" w:color="auto" w:fill="auto"/>
        </w:rPr>
      </w:pPr>
    </w:p>
    <w:p>
      <w:pPr>
        <w:widowControl/>
        <w:spacing w:line="360" w:lineRule="auto"/>
        <w:jc w:val="center"/>
        <w:rPr>
          <w:rFonts w:hint="eastAsia" w:ascii="宋体" w:hAnsi="宋体" w:cs="宋体"/>
          <w:b/>
          <w:color w:val="auto"/>
          <w:kern w:val="0"/>
          <w:sz w:val="44"/>
          <w:szCs w:val="44"/>
          <w:highlight w:val="none"/>
          <w:shd w:val="clear" w:color="auto" w:fill="auto"/>
        </w:rPr>
      </w:pPr>
      <w:r>
        <w:rPr>
          <w:rFonts w:hint="eastAsia" w:ascii="宋体" w:hAnsi="宋体" w:cs="宋体"/>
          <w:b/>
          <w:color w:val="auto"/>
          <w:kern w:val="0"/>
          <w:sz w:val="44"/>
          <w:szCs w:val="44"/>
          <w:highlight w:val="none"/>
          <w:shd w:val="clear" w:color="auto" w:fill="auto"/>
        </w:rPr>
        <w:t>目     录</w:t>
      </w:r>
    </w:p>
    <w:p>
      <w:pPr>
        <w:pStyle w:val="35"/>
        <w:ind w:firstLine="210"/>
        <w:jc w:val="right"/>
        <w:rPr>
          <w:rFonts w:hint="eastAsia"/>
          <w:color w:val="auto"/>
          <w:highlight w:val="none"/>
          <w:shd w:val="clear" w:color="auto" w:fill="auto"/>
        </w:rPr>
      </w:pPr>
    </w:p>
    <w:p>
      <w:pPr>
        <w:pStyle w:val="25"/>
        <w:pageBreakBefore w:val="0"/>
        <w:tabs>
          <w:tab w:val="right" w:leader="dot" w:pos="9003"/>
        </w:tabs>
        <w:kinsoku/>
        <w:topLinePunct w:val="0"/>
        <w:bidi w:val="0"/>
        <w:spacing w:line="360" w:lineRule="auto"/>
        <w:textAlignment w:val="auto"/>
        <w:rPr>
          <w:color w:val="auto"/>
          <w:sz w:val="28"/>
          <w:szCs w:val="28"/>
          <w:highlight w:val="none"/>
        </w:rPr>
      </w:pP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TOC \o "1-1" \h \u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_Toc19724 </w:instrText>
      </w:r>
      <w:r>
        <w:rPr>
          <w:rFonts w:hint="eastAsia" w:ascii="宋体" w:hAnsi="宋体" w:eastAsia="宋体" w:cs="宋体"/>
          <w:color w:val="auto"/>
          <w:kern w:val="0"/>
          <w:sz w:val="28"/>
          <w:szCs w:val="28"/>
          <w:highlight w:val="none"/>
        </w:rPr>
        <w:fldChar w:fldCharType="separate"/>
      </w:r>
      <w:r>
        <w:rPr>
          <w:rFonts w:hint="eastAsia"/>
          <w:color w:val="auto"/>
          <w:sz w:val="28"/>
          <w:szCs w:val="28"/>
          <w:highlight w:val="none"/>
          <w:lang w:val="en-US" w:eastAsia="zh-CN"/>
        </w:rPr>
        <w:t>第一章  询比采购公告</w:t>
      </w:r>
      <w:r>
        <w:rPr>
          <w:color w:val="auto"/>
          <w:sz w:val="28"/>
          <w:szCs w:val="28"/>
          <w:highlight w:val="none"/>
        </w:rPr>
        <w:tab/>
      </w:r>
      <w:r>
        <w:rPr>
          <w:rFonts w:hint="eastAsia"/>
          <w:color w:val="auto"/>
          <w:sz w:val="28"/>
          <w:szCs w:val="28"/>
          <w:highlight w:val="none"/>
          <w:lang w:val="en-US" w:eastAsia="zh-CN"/>
        </w:rPr>
        <w:t>3</w:t>
      </w:r>
      <w:r>
        <w:rPr>
          <w:rFonts w:hint="eastAsia" w:ascii="宋体" w:hAnsi="宋体" w:eastAsia="宋体" w:cs="宋体"/>
          <w:color w:val="auto"/>
          <w:kern w:val="0"/>
          <w:sz w:val="28"/>
          <w:szCs w:val="28"/>
          <w:highlight w:val="none"/>
        </w:rPr>
        <w:fldChar w:fldCharType="end"/>
      </w:r>
    </w:p>
    <w:p>
      <w:pPr>
        <w:pStyle w:val="25"/>
        <w:pageBreakBefore w:val="0"/>
        <w:tabs>
          <w:tab w:val="right" w:leader="dot" w:pos="9003"/>
        </w:tabs>
        <w:kinsoku/>
        <w:topLinePunct w:val="0"/>
        <w:bidi w:val="0"/>
        <w:spacing w:line="360" w:lineRule="auto"/>
        <w:textAlignment w:val="auto"/>
        <w:rPr>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_Toc13111 </w:instrText>
      </w:r>
      <w:r>
        <w:rPr>
          <w:rFonts w:hint="eastAsia" w:ascii="宋体" w:hAnsi="宋体" w:eastAsia="宋体" w:cs="宋体"/>
          <w:color w:val="auto"/>
          <w:kern w:val="0"/>
          <w:sz w:val="28"/>
          <w:szCs w:val="28"/>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lang w:val="en-US" w:eastAsia="zh-CN"/>
        </w:rPr>
        <w:t>6</w:t>
      </w:r>
      <w:r>
        <w:rPr>
          <w:rFonts w:hint="eastAsia" w:ascii="宋体" w:hAnsi="宋体" w:eastAsia="宋体" w:cs="宋体"/>
          <w:color w:val="auto"/>
          <w:kern w:val="0"/>
          <w:sz w:val="28"/>
          <w:szCs w:val="28"/>
          <w:highlight w:val="none"/>
        </w:rPr>
        <w:fldChar w:fldCharType="end"/>
      </w:r>
    </w:p>
    <w:p>
      <w:pPr>
        <w:pStyle w:val="25"/>
        <w:keepNext w:val="0"/>
        <w:keepLines w:val="0"/>
        <w:pageBreakBefore w:val="0"/>
        <w:widowControl w:val="0"/>
        <w:tabs>
          <w:tab w:val="right" w:leader="dot" w:pos="9003"/>
        </w:tabs>
        <w:kinsoku/>
        <w:wordWrap/>
        <w:overflowPunct/>
        <w:topLinePunct w:val="0"/>
        <w:autoSpaceDE/>
        <w:autoSpaceDN/>
        <w:bidi w:val="0"/>
        <w:adjustRightInd/>
        <w:snapToGrid/>
        <w:spacing w:line="360" w:lineRule="auto"/>
        <w:textAlignment w:val="auto"/>
        <w:rPr>
          <w:rFonts w:hint="eastAsia" w:eastAsia="宋体"/>
          <w:color w:val="auto"/>
          <w:sz w:val="28"/>
          <w:szCs w:val="28"/>
          <w:highlight w:val="none"/>
          <w:lang w:val="en-US" w:eastAsia="zh-CN"/>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_Toc23072 </w:instrText>
      </w:r>
      <w:r>
        <w:rPr>
          <w:rFonts w:hint="eastAsia" w:ascii="宋体" w:hAnsi="宋体" w:eastAsia="宋体" w:cs="宋体"/>
          <w:color w:val="auto"/>
          <w:kern w:val="0"/>
          <w:sz w:val="28"/>
          <w:szCs w:val="28"/>
          <w:highlight w:val="none"/>
        </w:rPr>
        <w:fldChar w:fldCharType="separate"/>
      </w:r>
      <w:r>
        <w:rPr>
          <w:rFonts w:hint="eastAsia"/>
          <w:color w:val="auto"/>
          <w:sz w:val="28"/>
          <w:szCs w:val="28"/>
          <w:highlight w:val="none"/>
          <w:lang w:eastAsia="zh-CN"/>
        </w:rPr>
        <w:t>第三章</w:t>
      </w:r>
      <w:r>
        <w:rPr>
          <w:rFonts w:hint="eastAsia"/>
          <w:color w:val="auto"/>
          <w:sz w:val="28"/>
          <w:szCs w:val="28"/>
          <w:highlight w:val="none"/>
          <w:lang w:val="en-US" w:eastAsia="zh-CN"/>
        </w:rPr>
        <w:t xml:space="preserve">  </w:t>
      </w:r>
      <w:r>
        <w:rPr>
          <w:rFonts w:hint="eastAsia"/>
          <w:color w:val="auto"/>
          <w:sz w:val="28"/>
          <w:szCs w:val="28"/>
          <w:highlight w:val="none"/>
        </w:rPr>
        <w:t>评审办法</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color w:val="auto"/>
          <w:kern w:val="0"/>
          <w:sz w:val="28"/>
          <w:szCs w:val="28"/>
          <w:highlight w:val="none"/>
        </w:rPr>
        <w:fldChar w:fldCharType="end"/>
      </w:r>
      <w:r>
        <w:rPr>
          <w:rFonts w:hint="eastAsia" w:ascii="宋体" w:hAnsi="宋体" w:cs="宋体"/>
          <w:color w:val="auto"/>
          <w:kern w:val="0"/>
          <w:sz w:val="28"/>
          <w:szCs w:val="28"/>
          <w:highlight w:val="none"/>
          <w:lang w:val="en-US" w:eastAsia="zh-CN"/>
        </w:rPr>
        <w:t>5</w:t>
      </w:r>
    </w:p>
    <w:p>
      <w:pPr>
        <w:pStyle w:val="25"/>
        <w:pageBreakBefore w:val="0"/>
        <w:tabs>
          <w:tab w:val="right" w:leader="dot" w:pos="9003"/>
        </w:tabs>
        <w:kinsoku/>
        <w:topLinePunct w:val="0"/>
        <w:bidi w:val="0"/>
        <w:spacing w:line="360" w:lineRule="auto"/>
        <w:textAlignment w:val="auto"/>
        <w:rPr>
          <w:rFonts w:hint="eastAsia" w:eastAsia="宋体"/>
          <w:color w:val="auto"/>
          <w:sz w:val="28"/>
          <w:szCs w:val="28"/>
          <w:highlight w:val="none"/>
          <w:lang w:val="en-US" w:eastAsia="zh-CN"/>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_Toc29719 </w:instrText>
      </w:r>
      <w:r>
        <w:rPr>
          <w:rFonts w:hint="eastAsia" w:ascii="宋体" w:hAnsi="宋体" w:eastAsia="宋体" w:cs="宋体"/>
          <w:color w:val="auto"/>
          <w:kern w:val="0"/>
          <w:sz w:val="28"/>
          <w:szCs w:val="28"/>
          <w:highlight w:val="none"/>
        </w:rPr>
        <w:fldChar w:fldCharType="separate"/>
      </w:r>
      <w:r>
        <w:rPr>
          <w:rFonts w:hint="eastAsia"/>
          <w:color w:val="auto"/>
          <w:sz w:val="28"/>
          <w:szCs w:val="28"/>
          <w:highlight w:val="none"/>
        </w:rPr>
        <w:t xml:space="preserve">第四章 </w:t>
      </w:r>
      <w:r>
        <w:rPr>
          <w:rFonts w:hint="eastAsia"/>
          <w:color w:val="auto"/>
          <w:sz w:val="28"/>
          <w:szCs w:val="28"/>
          <w:highlight w:val="none"/>
          <w:lang w:val="en-US" w:eastAsia="zh-CN"/>
        </w:rPr>
        <w:t xml:space="preserve"> </w:t>
      </w:r>
      <w:r>
        <w:rPr>
          <w:rFonts w:hint="eastAsia"/>
          <w:color w:val="auto"/>
          <w:sz w:val="28"/>
          <w:szCs w:val="28"/>
          <w:highlight w:val="none"/>
        </w:rPr>
        <w:t>合同条款及格式</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color w:val="auto"/>
          <w:kern w:val="0"/>
          <w:sz w:val="28"/>
          <w:szCs w:val="28"/>
          <w:highlight w:val="none"/>
        </w:rPr>
        <w:fldChar w:fldCharType="end"/>
      </w:r>
      <w:r>
        <w:rPr>
          <w:rFonts w:hint="eastAsia" w:ascii="宋体" w:hAnsi="宋体" w:cs="宋体"/>
          <w:color w:val="auto"/>
          <w:kern w:val="0"/>
          <w:sz w:val="28"/>
          <w:szCs w:val="28"/>
          <w:highlight w:val="none"/>
          <w:lang w:val="en-US" w:eastAsia="zh-CN"/>
        </w:rPr>
        <w:t>7</w:t>
      </w:r>
    </w:p>
    <w:p>
      <w:pPr>
        <w:pStyle w:val="25"/>
        <w:pageBreakBefore w:val="0"/>
        <w:tabs>
          <w:tab w:val="right" w:leader="dot" w:pos="9003"/>
        </w:tabs>
        <w:kinsoku/>
        <w:topLinePunct w:val="0"/>
        <w:bidi w:val="0"/>
        <w:spacing w:line="360" w:lineRule="auto"/>
        <w:textAlignment w:val="auto"/>
        <w:rPr>
          <w:rFonts w:hint="eastAsia" w:eastAsia="宋体"/>
          <w:color w:val="auto"/>
          <w:sz w:val="28"/>
          <w:szCs w:val="28"/>
          <w:highlight w:val="none"/>
          <w:lang w:val="en-US" w:eastAsia="zh-CN"/>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_Toc26956 </w:instrText>
      </w:r>
      <w:r>
        <w:rPr>
          <w:rFonts w:hint="eastAsia" w:ascii="宋体" w:hAnsi="宋体" w:eastAsia="宋体" w:cs="宋体"/>
          <w:color w:val="auto"/>
          <w:kern w:val="0"/>
          <w:sz w:val="28"/>
          <w:szCs w:val="28"/>
          <w:highlight w:val="none"/>
        </w:rPr>
        <w:fldChar w:fldCharType="separate"/>
      </w:r>
      <w:r>
        <w:rPr>
          <w:rFonts w:hint="eastAsia"/>
          <w:color w:val="auto"/>
          <w:sz w:val="28"/>
          <w:szCs w:val="28"/>
          <w:highlight w:val="none"/>
        </w:rPr>
        <w:t xml:space="preserve">第五章  </w:t>
      </w:r>
      <w:r>
        <w:rPr>
          <w:rFonts w:hint="eastAsia"/>
          <w:color w:val="auto"/>
          <w:sz w:val="28"/>
          <w:szCs w:val="28"/>
          <w:highlight w:val="none"/>
          <w:lang w:val="en-US" w:eastAsia="zh-CN"/>
        </w:rPr>
        <w:t>询比人</w:t>
      </w:r>
      <w:r>
        <w:rPr>
          <w:rFonts w:hint="eastAsia"/>
          <w:color w:val="auto"/>
          <w:sz w:val="28"/>
          <w:szCs w:val="28"/>
          <w:highlight w:val="none"/>
        </w:rPr>
        <w:t>要求</w:t>
      </w:r>
      <w:r>
        <w:rPr>
          <w:color w:val="auto"/>
          <w:sz w:val="28"/>
          <w:szCs w:val="28"/>
          <w:highlight w:val="none"/>
        </w:rPr>
        <w:tab/>
      </w:r>
      <w:r>
        <w:rPr>
          <w:rFonts w:hint="eastAsia"/>
          <w:color w:val="auto"/>
          <w:sz w:val="28"/>
          <w:szCs w:val="28"/>
          <w:highlight w:val="none"/>
          <w:lang w:val="en-US" w:eastAsia="zh-CN"/>
        </w:rPr>
        <w:t>2</w:t>
      </w:r>
      <w:r>
        <w:rPr>
          <w:rFonts w:hint="eastAsia" w:ascii="宋体" w:hAnsi="宋体" w:eastAsia="宋体" w:cs="宋体"/>
          <w:color w:val="auto"/>
          <w:kern w:val="0"/>
          <w:sz w:val="28"/>
          <w:szCs w:val="28"/>
          <w:highlight w:val="none"/>
        </w:rPr>
        <w:fldChar w:fldCharType="end"/>
      </w:r>
      <w:r>
        <w:rPr>
          <w:rFonts w:hint="eastAsia" w:ascii="宋体" w:hAnsi="宋体" w:cs="宋体"/>
          <w:color w:val="auto"/>
          <w:kern w:val="0"/>
          <w:sz w:val="28"/>
          <w:szCs w:val="28"/>
          <w:highlight w:val="none"/>
          <w:lang w:val="en-US" w:eastAsia="zh-CN"/>
        </w:rPr>
        <w:t>3</w:t>
      </w:r>
    </w:p>
    <w:p>
      <w:pPr>
        <w:pStyle w:val="25"/>
        <w:pageBreakBefore w:val="0"/>
        <w:tabs>
          <w:tab w:val="right" w:leader="dot" w:pos="9003"/>
        </w:tabs>
        <w:kinsoku/>
        <w:topLinePunct w:val="0"/>
        <w:bidi w:val="0"/>
        <w:spacing w:line="360" w:lineRule="auto"/>
        <w:textAlignment w:val="auto"/>
        <w:rPr>
          <w:rFonts w:hint="eastAsia" w:eastAsia="宋体"/>
          <w:color w:val="auto"/>
          <w:sz w:val="28"/>
          <w:szCs w:val="28"/>
          <w:highlight w:val="none"/>
          <w:lang w:val="en-US" w:eastAsia="zh-CN"/>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_Toc13007 </w:instrText>
      </w:r>
      <w:r>
        <w:rPr>
          <w:rFonts w:hint="eastAsia" w:ascii="宋体" w:hAnsi="宋体" w:eastAsia="宋体" w:cs="宋体"/>
          <w:color w:val="auto"/>
          <w:kern w:val="0"/>
          <w:sz w:val="28"/>
          <w:szCs w:val="28"/>
          <w:highlight w:val="none"/>
        </w:rPr>
        <w:fldChar w:fldCharType="separate"/>
      </w:r>
      <w:r>
        <w:rPr>
          <w:rFonts w:hint="eastAsia"/>
          <w:color w:val="auto"/>
          <w:sz w:val="28"/>
          <w:szCs w:val="28"/>
          <w:highlight w:val="none"/>
        </w:rPr>
        <w:t xml:space="preserve">第六章 </w:t>
      </w:r>
      <w:r>
        <w:rPr>
          <w:rFonts w:hint="eastAsia"/>
          <w:color w:val="auto"/>
          <w:sz w:val="28"/>
          <w:szCs w:val="28"/>
          <w:highlight w:val="none"/>
          <w:lang w:val="en-US"/>
        </w:rPr>
        <w:t xml:space="preserve"> </w:t>
      </w:r>
      <w:r>
        <w:rPr>
          <w:rFonts w:hint="eastAsia"/>
          <w:color w:val="auto"/>
          <w:sz w:val="28"/>
          <w:szCs w:val="28"/>
          <w:highlight w:val="none"/>
        </w:rPr>
        <w:t>响应文件格式</w:t>
      </w:r>
      <w:r>
        <w:rPr>
          <w:color w:val="auto"/>
          <w:sz w:val="28"/>
          <w:szCs w:val="28"/>
          <w:highlight w:val="none"/>
        </w:rPr>
        <w:tab/>
      </w:r>
      <w:r>
        <w:rPr>
          <w:rFonts w:hint="eastAsia"/>
          <w:color w:val="auto"/>
          <w:sz w:val="28"/>
          <w:szCs w:val="28"/>
          <w:highlight w:val="none"/>
          <w:lang w:val="en-US" w:eastAsia="zh-CN"/>
        </w:rPr>
        <w:t>2</w:t>
      </w:r>
      <w:r>
        <w:rPr>
          <w:rFonts w:hint="eastAsia" w:ascii="宋体" w:hAnsi="宋体" w:eastAsia="宋体" w:cs="宋体"/>
          <w:color w:val="auto"/>
          <w:kern w:val="0"/>
          <w:sz w:val="28"/>
          <w:szCs w:val="28"/>
          <w:highlight w:val="none"/>
        </w:rPr>
        <w:fldChar w:fldCharType="end"/>
      </w:r>
      <w:r>
        <w:rPr>
          <w:rFonts w:hint="eastAsia" w:ascii="宋体" w:hAnsi="宋体" w:cs="宋体"/>
          <w:color w:val="auto"/>
          <w:kern w:val="0"/>
          <w:sz w:val="28"/>
          <w:szCs w:val="28"/>
          <w:highlight w:val="none"/>
          <w:lang w:val="en-US" w:eastAsia="zh-CN"/>
        </w:rPr>
        <w:t>4</w:t>
      </w: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r>
        <w:rPr>
          <w:rFonts w:hint="eastAsia" w:ascii="宋体" w:hAnsi="宋体" w:eastAsia="宋体" w:cs="宋体"/>
          <w:color w:val="auto"/>
          <w:kern w:val="0"/>
          <w:sz w:val="28"/>
          <w:szCs w:val="28"/>
          <w:highlight w:val="none"/>
        </w:rPr>
        <w:fldChar w:fldCharType="end"/>
      </w: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480" w:lineRule="auto"/>
        <w:textAlignment w:val="auto"/>
        <w:rPr>
          <w:color w:val="auto"/>
          <w:sz w:val="24"/>
          <w:szCs w:val="24"/>
          <w:highlight w:val="none"/>
          <w:shd w:val="clear" w:color="auto" w:fill="auto"/>
        </w:rPr>
      </w:pPr>
    </w:p>
    <w:p>
      <w:pPr>
        <w:pStyle w:val="4"/>
        <w:bidi w:val="0"/>
        <w:jc w:val="center"/>
        <w:rPr>
          <w:rFonts w:hint="eastAsia"/>
          <w:color w:val="auto"/>
          <w:highlight w:val="none"/>
          <w:shd w:val="clear" w:color="auto" w:fill="auto"/>
        </w:rPr>
        <w:sectPr>
          <w:headerReference r:id="rId7" w:type="default"/>
          <w:footerReference r:id="rId8" w:type="default"/>
          <w:pgSz w:w="11906" w:h="16838"/>
          <w:pgMar w:top="1247" w:right="1247" w:bottom="1247" w:left="1247" w:header="851" w:footer="992" w:gutter="0"/>
          <w:pgNumType w:fmt="decimal"/>
          <w:cols w:space="720" w:num="1"/>
          <w:docGrid w:type="lines" w:linePitch="312" w:charSpace="0"/>
        </w:sectPr>
      </w:pPr>
      <w:bookmarkStart w:id="0" w:name="_Toc13307"/>
    </w:p>
    <w:bookmarkEnd w:id="0"/>
    <w:p>
      <w:pPr>
        <w:pStyle w:val="4"/>
        <w:numPr>
          <w:ilvl w:val="0"/>
          <w:numId w:val="1"/>
        </w:numPr>
        <w:bidi w:val="0"/>
        <w:jc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 xml:space="preserve"> </w:t>
      </w:r>
      <w:r>
        <w:rPr>
          <w:rFonts w:hint="eastAsia"/>
          <w:color w:val="auto"/>
          <w:highlight w:val="none"/>
          <w:lang w:val="en-US" w:eastAsia="zh-CN"/>
        </w:rPr>
        <w:t>询比采购公告</w:t>
      </w:r>
    </w:p>
    <w:p>
      <w:pPr>
        <w:pageBreakBefore w:val="0"/>
        <w:kinsoku/>
        <w:topLinePunct w:val="0"/>
        <w:autoSpaceDE w:val="0"/>
        <w:autoSpaceDN w:val="0"/>
        <w:bidi w:val="0"/>
        <w:adjustRightInd w:val="0"/>
        <w:spacing w:line="360" w:lineRule="auto"/>
        <w:jc w:val="center"/>
        <w:textAlignment w:val="auto"/>
        <w:rPr>
          <w:rFonts w:hint="eastAsia" w:ascii="宋体" w:hAnsi="宋体" w:cs="宋体"/>
          <w:color w:val="auto"/>
          <w:kern w:val="0"/>
          <w:sz w:val="28"/>
          <w:szCs w:val="28"/>
          <w:highlight w:val="none"/>
          <w:lang w:val="en-US"/>
        </w:rPr>
      </w:pPr>
      <w:r>
        <w:rPr>
          <w:rFonts w:hint="eastAsia" w:ascii="宋体" w:hAnsi="宋体" w:cs="宋体"/>
          <w:color w:val="auto"/>
          <w:kern w:val="0"/>
          <w:sz w:val="28"/>
          <w:szCs w:val="28"/>
          <w:highlight w:val="none"/>
          <w:lang w:val="en-US"/>
        </w:rPr>
        <w:t xml:space="preserve"> </w:t>
      </w:r>
      <w:r>
        <w:rPr>
          <w:rFonts w:hint="eastAsia" w:ascii="宋体" w:hAnsi="宋体" w:cs="宋体"/>
          <w:color w:val="auto"/>
          <w:kern w:val="0"/>
          <w:sz w:val="28"/>
          <w:szCs w:val="28"/>
          <w:highlight w:val="none"/>
          <w:lang w:val="en-US" w:eastAsia="zh-CN"/>
        </w:rPr>
        <w:t>郑州市石佛水厂改造工程-竣工规划核实、土地核验测绘（二次）</w:t>
      </w:r>
      <w:r>
        <w:rPr>
          <w:rFonts w:hint="eastAsia" w:ascii="宋体" w:hAnsi="宋体" w:cs="宋体"/>
          <w:color w:val="auto"/>
          <w:kern w:val="0"/>
          <w:sz w:val="28"/>
          <w:szCs w:val="28"/>
          <w:highlight w:val="none"/>
          <w:lang w:val="en-US"/>
        </w:rPr>
        <w:t>询比公告</w:t>
      </w:r>
    </w:p>
    <w:p>
      <w:pPr>
        <w:pageBreakBefore w:val="0"/>
        <w:kinsoku/>
        <w:topLinePunct w:val="0"/>
        <w:bidi w:val="0"/>
        <w:spacing w:line="360" w:lineRule="auto"/>
        <w:jc w:val="center"/>
        <w:textAlignment w:val="auto"/>
        <w:rPr>
          <w:rFonts w:ascii="宋体" w:hAnsi="宋体" w:cs="宋体"/>
          <w:b/>
          <w:color w:val="auto"/>
          <w:sz w:val="44"/>
          <w:szCs w:val="44"/>
          <w:highlight w:val="none"/>
        </w:rPr>
      </w:pPr>
      <w:r>
        <w:rPr>
          <w:rFonts w:hint="eastAsia" w:ascii="宋体" w:hAnsi="宋体" w:cs="宋体"/>
          <w:color w:val="auto"/>
          <w:kern w:val="0"/>
          <w:sz w:val="28"/>
          <w:szCs w:val="28"/>
          <w:highlight w:val="none"/>
        </w:rPr>
        <w:t>（采购编号：</w:t>
      </w:r>
      <w:r>
        <w:rPr>
          <w:rFonts w:hint="eastAsia" w:ascii="宋体" w:hAnsi="宋体" w:cs="宋体"/>
          <w:color w:val="auto"/>
          <w:kern w:val="0"/>
          <w:sz w:val="28"/>
          <w:szCs w:val="28"/>
          <w:highlight w:val="none"/>
          <w:lang w:eastAsia="zh-CN"/>
        </w:rPr>
        <w:t>ZSSFGZ-2025-CF001</w:t>
      </w:r>
      <w:r>
        <w:rPr>
          <w:rFonts w:hint="eastAsia" w:ascii="宋体" w:hAnsi="宋体" w:cs="宋体"/>
          <w:color w:val="auto"/>
          <w:kern w:val="0"/>
          <w:sz w:val="28"/>
          <w:szCs w:val="28"/>
          <w:highlight w:val="none"/>
        </w:rPr>
        <w:t>）</w:t>
      </w:r>
    </w:p>
    <w:p>
      <w:pPr>
        <w:rPr>
          <w:rFonts w:hint="default"/>
          <w:color w:val="auto"/>
          <w:highlight w:val="none"/>
          <w:lang w:val="en-US" w:eastAsia="zh-CN"/>
        </w:rPr>
      </w:pPr>
    </w:p>
    <w:p>
      <w:pPr>
        <w:pageBreakBefore w:val="0"/>
        <w:kinsoku/>
        <w:topLinePunct w:val="0"/>
        <w:bidi w:val="0"/>
        <w:spacing w:line="360" w:lineRule="auto"/>
        <w:textAlignment w:val="auto"/>
        <w:outlineLvl w:val="1"/>
        <w:rPr>
          <w:rFonts w:ascii="宋体" w:hAnsi="宋体" w:cs="宋体"/>
          <w:b/>
          <w:color w:val="auto"/>
          <w:sz w:val="24"/>
          <w:highlight w:val="none"/>
        </w:rPr>
      </w:pPr>
      <w:r>
        <w:rPr>
          <w:rFonts w:hint="eastAsia" w:ascii="宋体" w:hAnsi="宋体" w:cs="宋体"/>
          <w:b/>
          <w:color w:val="auto"/>
          <w:sz w:val="24"/>
          <w:highlight w:val="none"/>
        </w:rPr>
        <w:t>1.采购条件</w:t>
      </w:r>
    </w:p>
    <w:p>
      <w:pPr>
        <w:pageBreakBefore w:val="0"/>
        <w:kinsoku/>
        <w:topLinePunct w:val="0"/>
        <w:bidi w:val="0"/>
        <w:spacing w:line="360" w:lineRule="auto"/>
        <w:ind w:firstLine="480" w:firstLineChars="200"/>
        <w:textAlignment w:val="auto"/>
        <w:rPr>
          <w:color w:val="auto"/>
          <w:highlight w:val="none"/>
        </w:rPr>
      </w:pPr>
      <w:r>
        <w:rPr>
          <w:rFonts w:hint="eastAsia" w:ascii="宋体" w:hAnsi="宋体" w:cs="宋体"/>
          <w:color w:val="auto"/>
          <w:sz w:val="24"/>
          <w:highlight w:val="none"/>
        </w:rPr>
        <w:t>本采购项目为</w:t>
      </w:r>
      <w:r>
        <w:rPr>
          <w:rFonts w:hint="eastAsia" w:ascii="宋体" w:hAnsi="宋体" w:cs="宋体"/>
          <w:color w:val="auto"/>
          <w:sz w:val="24"/>
          <w:highlight w:val="none"/>
          <w:shd w:val="clear" w:color="auto" w:fill="auto"/>
        </w:rPr>
        <w:t>“</w:t>
      </w:r>
      <w:r>
        <w:rPr>
          <w:rFonts w:hint="eastAsia"/>
          <w:color w:val="auto"/>
          <w:szCs w:val="21"/>
          <w:highlight w:val="none"/>
          <w:shd w:val="clear" w:color="auto" w:fill="auto"/>
        </w:rPr>
        <w:t xml:space="preserve"> </w:t>
      </w:r>
      <w:r>
        <w:rPr>
          <w:rFonts w:hint="eastAsia" w:ascii="宋体" w:hAnsi="宋体" w:cs="宋体"/>
          <w:color w:val="auto"/>
          <w:sz w:val="24"/>
          <w:highlight w:val="none"/>
          <w:u w:val="single"/>
          <w:shd w:val="clear" w:color="auto" w:fill="auto"/>
          <w:lang w:val="en-US" w:eastAsia="zh-CN"/>
        </w:rPr>
        <w:t>郑州市石佛水厂改造工程-竣工规划核实、土地核验测绘（二次）</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rPr>
        <w:t>，</w:t>
      </w:r>
      <w:r>
        <w:rPr>
          <w:rFonts w:hint="eastAsia" w:ascii="宋体" w:hAnsi="宋体" w:cs="宋体"/>
          <w:color w:val="auto"/>
          <w:sz w:val="24"/>
          <w:highlight w:val="none"/>
        </w:rPr>
        <w:t>项目业主及采购人为郑州</w:t>
      </w:r>
      <w:r>
        <w:rPr>
          <w:rFonts w:hint="eastAsia" w:ascii="宋体" w:hAnsi="宋体" w:cs="宋体"/>
          <w:color w:val="auto"/>
          <w:sz w:val="24"/>
          <w:highlight w:val="none"/>
          <w:lang w:eastAsia="zh-CN"/>
        </w:rPr>
        <w:t>自来水投资控股</w:t>
      </w:r>
      <w:r>
        <w:rPr>
          <w:rFonts w:hint="eastAsia" w:ascii="宋体" w:hAnsi="宋体" w:cs="宋体"/>
          <w:color w:val="auto"/>
          <w:sz w:val="24"/>
          <w:highlight w:val="none"/>
        </w:rPr>
        <w:t>有限公司，资金来源：</w:t>
      </w:r>
      <w:r>
        <w:rPr>
          <w:rFonts w:hint="eastAsia" w:ascii="宋体" w:hAnsi="宋体" w:cs="宋体"/>
          <w:color w:val="auto"/>
          <w:sz w:val="24"/>
          <w:highlight w:val="none"/>
          <w:lang w:val="en-US" w:eastAsia="zh-CN"/>
        </w:rPr>
        <w:t>财政资金+</w:t>
      </w:r>
      <w:r>
        <w:rPr>
          <w:rFonts w:hint="eastAsia" w:ascii="宋体" w:hAnsi="宋体" w:cs="宋体"/>
          <w:color w:val="auto"/>
          <w:sz w:val="24"/>
          <w:highlight w:val="none"/>
        </w:rPr>
        <w:t>自筹，出资比例</w:t>
      </w:r>
      <w:r>
        <w:rPr>
          <w:rFonts w:hint="eastAsia" w:ascii="宋体" w:hAnsi="宋体" w:cs="宋体"/>
          <w:color w:val="auto"/>
          <w:sz w:val="24"/>
          <w:highlight w:val="none"/>
          <w:lang w:val="en-US" w:eastAsia="zh-CN"/>
        </w:rPr>
        <w:t>财政35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自筹</w:t>
      </w:r>
      <w:r>
        <w:rPr>
          <w:rFonts w:hint="eastAsia" w:ascii="宋体" w:hAnsi="宋体" w:cs="宋体"/>
          <w:color w:val="auto"/>
          <w:sz w:val="24"/>
          <w:highlight w:val="none"/>
          <w:lang w:val="en-US" w:eastAsia="zh-CN"/>
        </w:rPr>
        <w:t>65%</w:t>
      </w:r>
      <w:r>
        <w:rPr>
          <w:rFonts w:hint="eastAsia" w:ascii="宋体" w:hAnsi="宋体" w:cs="宋体"/>
          <w:color w:val="auto"/>
          <w:sz w:val="24"/>
          <w:highlight w:val="none"/>
        </w:rPr>
        <w:t>，资金已落</w:t>
      </w:r>
      <w:r>
        <w:rPr>
          <w:rFonts w:hint="eastAsia" w:ascii="宋体" w:hAnsi="宋体" w:cs="宋体"/>
          <w:color w:val="auto"/>
          <w:sz w:val="24"/>
          <w:highlight w:val="none"/>
          <w:lang w:val="en-US" w:eastAsia="zh-CN"/>
        </w:rPr>
        <w:t>实</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rPr>
        <w:t>现对该项目</w:t>
      </w:r>
      <w:r>
        <w:rPr>
          <w:rFonts w:hint="eastAsia" w:ascii="宋体" w:hAnsi="宋体" w:cs="宋体"/>
          <w:color w:val="auto"/>
          <w:sz w:val="24"/>
          <w:highlight w:val="none"/>
          <w:lang w:val="en-US" w:eastAsia="zh-CN"/>
        </w:rPr>
        <w:t>竣工规划核实、土地核验测绘</w:t>
      </w:r>
      <w:r>
        <w:rPr>
          <w:rFonts w:hint="eastAsia" w:ascii="宋体" w:hAnsi="宋体" w:cs="宋体"/>
          <w:color w:val="auto"/>
          <w:sz w:val="24"/>
          <w:highlight w:val="none"/>
        </w:rPr>
        <w:t>进行询比采购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将有关事项公告如下：</w:t>
      </w:r>
    </w:p>
    <w:p>
      <w:pPr>
        <w:spacing w:line="360" w:lineRule="auto"/>
        <w:outlineLvl w:val="1"/>
        <w:rPr>
          <w:color w:val="auto"/>
          <w:highlight w:val="none"/>
          <w:shd w:val="clear" w:color="auto" w:fill="auto"/>
        </w:rPr>
      </w:pPr>
      <w:bookmarkStart w:id="1" w:name="_Toc30561_WPSOffice_Level2"/>
      <w:bookmarkStart w:id="2" w:name="_Toc32005"/>
      <w:bookmarkStart w:id="3" w:name="_Toc27017_WPSOffice_Level2"/>
      <w:r>
        <w:rPr>
          <w:rFonts w:hint="eastAsia" w:ascii="宋体" w:hAnsi="宋体" w:cs="宋体"/>
          <w:b/>
          <w:color w:val="auto"/>
          <w:sz w:val="24"/>
          <w:highlight w:val="none"/>
          <w:shd w:val="clear" w:color="auto" w:fill="auto"/>
          <w:lang w:val="en-US" w:eastAsia="zh-CN"/>
        </w:rPr>
        <w:t>2</w:t>
      </w:r>
      <w:r>
        <w:rPr>
          <w:rFonts w:hint="eastAsia" w:ascii="宋体" w:hAnsi="宋体" w:cs="宋体"/>
          <w:b/>
          <w:color w:val="auto"/>
          <w:sz w:val="24"/>
          <w:highlight w:val="none"/>
          <w:shd w:val="clear" w:color="auto" w:fill="auto"/>
        </w:rPr>
        <w:t>.项目概况及范围</w:t>
      </w:r>
      <w:bookmarkEnd w:id="1"/>
      <w:bookmarkEnd w:id="2"/>
      <w:bookmarkEnd w:id="3"/>
      <w:r>
        <w:rPr>
          <w:rFonts w:hint="eastAsia" w:ascii="宋体" w:hAnsi="宋体" w:cs="宋体"/>
          <w:b/>
          <w:color w:val="auto"/>
          <w:sz w:val="24"/>
          <w:highlight w:val="none"/>
          <w:shd w:val="clear" w:color="auto" w:fill="auto"/>
        </w:rPr>
        <w:t xml:space="preserve">  </w:t>
      </w:r>
      <w:r>
        <w:rPr>
          <w:rFonts w:hint="eastAsia"/>
          <w:color w:val="auto"/>
          <w:highlight w:val="none"/>
          <w:shd w:val="clear" w:color="auto" w:fill="auto"/>
        </w:rPr>
        <w:t xml:space="preserve"> </w:t>
      </w:r>
    </w:p>
    <w:p>
      <w:pPr>
        <w:spacing w:line="360" w:lineRule="auto"/>
        <w:ind w:firstLine="480" w:firstLineChars="200"/>
        <w:rPr>
          <w:rFonts w:hint="eastAsia" w:ascii="宋体" w:hAnsi="宋体" w:cs="宋体"/>
          <w:color w:val="auto"/>
          <w:sz w:val="24"/>
          <w:highlight w:val="none"/>
          <w:u w:val="none"/>
          <w:shd w:val="clear" w:color="auto" w:fill="auto"/>
          <w:lang w:val="en-US" w:eastAsia="zh-CN"/>
        </w:rPr>
      </w:pPr>
      <w:r>
        <w:rPr>
          <w:rFonts w:hint="eastAsia" w:ascii="宋体" w:hAnsi="宋体" w:cs="宋体"/>
          <w:color w:val="auto"/>
          <w:sz w:val="24"/>
          <w:highlight w:val="none"/>
          <w:shd w:val="clear" w:color="auto" w:fill="auto"/>
        </w:rPr>
        <w:t>1.1项目名称：</w:t>
      </w:r>
      <w:r>
        <w:rPr>
          <w:rFonts w:hint="eastAsia" w:ascii="宋体" w:hAnsi="宋体" w:cs="宋体"/>
          <w:color w:val="auto"/>
          <w:sz w:val="24"/>
          <w:highlight w:val="none"/>
          <w:u w:val="none"/>
          <w:shd w:val="clear" w:color="auto" w:fill="auto"/>
          <w:lang w:val="en-US" w:eastAsia="zh-CN"/>
        </w:rPr>
        <w:t>郑州市石佛水厂改造工程-竣工规划核实、土地核验测绘（二次）</w:t>
      </w:r>
    </w:p>
    <w:p>
      <w:pPr>
        <w:pStyle w:val="2"/>
        <w:ind w:firstLine="480" w:firstLineChars="200"/>
        <w:rPr>
          <w:rFonts w:hint="default"/>
          <w:color w:val="auto"/>
          <w:highlight w:val="none"/>
          <w:lang w:val="en-US"/>
        </w:rPr>
      </w:pPr>
      <w:r>
        <w:rPr>
          <w:rFonts w:hint="eastAsia" w:ascii="宋体" w:hAnsi="宋体" w:cs="宋体"/>
          <w:color w:val="auto"/>
          <w:sz w:val="24"/>
          <w:highlight w:val="none"/>
          <w:u w:val="none"/>
          <w:shd w:val="clear" w:color="auto" w:fill="auto"/>
          <w:lang w:val="en-US" w:eastAsia="zh-CN"/>
        </w:rPr>
        <w:t>1.2建设地点：</w:t>
      </w:r>
      <w:r>
        <w:rPr>
          <w:rFonts w:hint="eastAsia" w:ascii="宋体" w:hAnsi="宋体" w:cs="宋体"/>
          <w:color w:val="auto"/>
          <w:sz w:val="24"/>
          <w:szCs w:val="24"/>
          <w:highlight w:val="none"/>
          <w:lang w:val="en-US" w:eastAsia="zh-CN"/>
        </w:rPr>
        <w:t>郑州市高新区郁香路、翠竹街</w:t>
      </w:r>
    </w:p>
    <w:p>
      <w:pPr>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u w:val="none"/>
          <w:shd w:val="clear" w:color="auto" w:fill="auto"/>
        </w:rPr>
        <w:t>1.</w:t>
      </w:r>
      <w:r>
        <w:rPr>
          <w:rFonts w:hint="eastAsia" w:ascii="宋体" w:hAnsi="宋体" w:cs="宋体"/>
          <w:color w:val="auto"/>
          <w:sz w:val="24"/>
          <w:highlight w:val="none"/>
          <w:u w:val="none"/>
          <w:shd w:val="clear" w:color="auto" w:fill="auto"/>
          <w:lang w:val="en-US" w:eastAsia="zh-CN"/>
        </w:rPr>
        <w:t>3采购</w:t>
      </w:r>
      <w:r>
        <w:rPr>
          <w:rFonts w:hint="eastAsia" w:ascii="宋体" w:hAnsi="宋体" w:cs="宋体"/>
          <w:color w:val="auto"/>
          <w:sz w:val="24"/>
          <w:highlight w:val="none"/>
          <w:u w:val="none"/>
          <w:shd w:val="clear" w:color="auto" w:fill="auto"/>
        </w:rPr>
        <w:t>编号：</w:t>
      </w:r>
      <w:r>
        <w:rPr>
          <w:rFonts w:hint="eastAsia" w:ascii="宋体" w:hAnsi="宋体" w:eastAsia="宋体" w:cs="宋体"/>
          <w:color w:val="auto"/>
          <w:kern w:val="2"/>
          <w:sz w:val="24"/>
          <w:szCs w:val="24"/>
          <w:highlight w:val="none"/>
          <w:lang w:val="en-US" w:eastAsia="zh-CN" w:bidi="ar-SA"/>
        </w:rPr>
        <w:t>ZSSFGZ-2025-CF001</w:t>
      </w:r>
    </w:p>
    <w:p>
      <w:pPr>
        <w:adjustRightInd w:val="0"/>
        <w:spacing w:line="420" w:lineRule="exact"/>
        <w:ind w:firstLine="480" w:firstLineChars="200"/>
        <w:textAlignment w:val="baseline"/>
        <w:rPr>
          <w:rFonts w:hint="default" w:eastAsia="宋体"/>
          <w:color w:val="auto"/>
          <w:highlight w:val="none"/>
          <w:u w:val="none"/>
          <w:shd w:val="clear" w:color="auto" w:fill="auto"/>
          <w:lang w:val="en-US" w:eastAsia="zh-CN"/>
        </w:rPr>
      </w:pPr>
      <w:r>
        <w:rPr>
          <w:rFonts w:hint="eastAsia" w:ascii="宋体" w:hAnsi="宋体" w:cs="宋体"/>
          <w:color w:val="auto"/>
          <w:sz w:val="24"/>
          <w:highlight w:val="none"/>
          <w:u w:val="none"/>
          <w:shd w:val="clear" w:color="auto" w:fill="auto"/>
        </w:rPr>
        <w:t>1.</w:t>
      </w:r>
      <w:r>
        <w:rPr>
          <w:rFonts w:hint="eastAsia" w:ascii="宋体" w:hAnsi="宋体" w:cs="宋体"/>
          <w:color w:val="auto"/>
          <w:sz w:val="24"/>
          <w:highlight w:val="none"/>
          <w:u w:val="none"/>
          <w:shd w:val="clear" w:color="auto" w:fill="auto"/>
          <w:lang w:val="en-US" w:eastAsia="zh-CN"/>
        </w:rPr>
        <w:t>4采购</w:t>
      </w:r>
      <w:r>
        <w:rPr>
          <w:rFonts w:hint="eastAsia" w:ascii="宋体" w:hAnsi="宋体" w:cs="宋体"/>
          <w:color w:val="auto"/>
          <w:sz w:val="24"/>
          <w:highlight w:val="none"/>
          <w:u w:val="none"/>
          <w:shd w:val="clear" w:color="auto" w:fill="auto"/>
        </w:rPr>
        <w:t>内容：</w:t>
      </w:r>
      <w:r>
        <w:rPr>
          <w:rFonts w:hint="eastAsia" w:ascii="宋体" w:hAnsi="宋体" w:cs="宋体"/>
          <w:color w:val="auto"/>
          <w:sz w:val="24"/>
          <w:highlight w:val="none"/>
          <w:u w:val="none"/>
          <w:shd w:val="clear" w:color="auto" w:fill="auto"/>
          <w:lang w:val="en-US" w:eastAsia="zh-CN"/>
        </w:rPr>
        <w:t>郑州市石佛水厂改造工程-竣工规划核实、土地核验</w:t>
      </w:r>
      <w:bookmarkStart w:id="203" w:name="_GoBack"/>
      <w:bookmarkEnd w:id="203"/>
      <w:r>
        <w:rPr>
          <w:rFonts w:hint="eastAsia" w:ascii="宋体" w:hAnsi="宋体" w:cs="宋体"/>
          <w:color w:val="auto"/>
          <w:sz w:val="24"/>
          <w:highlight w:val="none"/>
          <w:u w:val="none"/>
          <w:shd w:val="clear" w:color="auto" w:fill="auto"/>
          <w:lang w:val="en-US" w:eastAsia="zh-CN"/>
        </w:rPr>
        <w:t>测绘，包含对郑州市石佛水厂改造工程所有已竣工工程进行规划核实</w:t>
      </w:r>
      <w:r>
        <w:rPr>
          <w:rFonts w:hint="eastAsia" w:ascii="宋体" w:hAnsi="宋体" w:cs="宋体"/>
          <w:color w:val="auto"/>
          <w:sz w:val="24"/>
          <w:highlight w:val="none"/>
        </w:rPr>
        <w:t>、土地核验</w:t>
      </w:r>
      <w:r>
        <w:rPr>
          <w:rFonts w:hint="eastAsia" w:ascii="宋体" w:hAnsi="宋体" w:cs="宋体"/>
          <w:color w:val="auto"/>
          <w:sz w:val="24"/>
          <w:highlight w:val="none"/>
          <w:lang w:val="en-US" w:eastAsia="zh-CN"/>
        </w:rPr>
        <w:t>测绘</w:t>
      </w:r>
      <w:r>
        <w:rPr>
          <w:rFonts w:hint="eastAsia" w:ascii="宋体" w:hAnsi="宋体" w:cs="宋体"/>
          <w:color w:val="auto"/>
          <w:sz w:val="24"/>
          <w:highlight w:val="none"/>
          <w:u w:val="none"/>
          <w:shd w:val="clear" w:color="auto" w:fill="auto"/>
          <w:lang w:val="en-US" w:eastAsia="zh-CN"/>
        </w:rPr>
        <w:t>，</w:t>
      </w:r>
      <w:r>
        <w:rPr>
          <w:rFonts w:hint="eastAsia" w:ascii="宋体" w:hAnsi="宋体" w:cs="宋体"/>
          <w:color w:val="auto"/>
          <w:sz w:val="24"/>
          <w:highlight w:val="none"/>
        </w:rPr>
        <w:t>出具规划核实报告、土地核验报告及配合相关规划手续的办理工作；</w:t>
      </w:r>
    </w:p>
    <w:p>
      <w:pPr>
        <w:spacing w:line="360" w:lineRule="auto"/>
        <w:ind w:firstLine="480" w:firstLineChars="200"/>
        <w:rPr>
          <w:rFonts w:hint="default" w:ascii="宋体" w:hAnsi="宋体" w:eastAsia="宋体" w:cs="宋体"/>
          <w:color w:val="auto"/>
          <w:sz w:val="24"/>
          <w:highlight w:val="none"/>
          <w:u w:val="none"/>
          <w:shd w:val="clear" w:color="auto" w:fill="auto"/>
          <w:lang w:val="en-US" w:eastAsia="zh-CN"/>
        </w:rPr>
      </w:pPr>
      <w:r>
        <w:rPr>
          <w:rFonts w:hint="eastAsia" w:ascii="宋体" w:hAnsi="宋体" w:cs="宋体"/>
          <w:color w:val="auto"/>
          <w:sz w:val="24"/>
          <w:highlight w:val="none"/>
          <w:u w:val="none"/>
          <w:shd w:val="clear" w:color="auto" w:fill="auto"/>
        </w:rPr>
        <w:t>1.</w:t>
      </w:r>
      <w:r>
        <w:rPr>
          <w:rFonts w:hint="eastAsia" w:ascii="宋体" w:hAnsi="宋体" w:cs="宋体"/>
          <w:color w:val="auto"/>
          <w:sz w:val="24"/>
          <w:highlight w:val="none"/>
          <w:u w:val="none"/>
          <w:shd w:val="clear" w:color="auto" w:fill="auto"/>
          <w:lang w:val="en-US" w:eastAsia="zh-CN"/>
        </w:rPr>
        <w:t>5</w:t>
      </w:r>
      <w:r>
        <w:rPr>
          <w:rFonts w:hint="eastAsia" w:ascii="宋体" w:hAnsi="宋体" w:cs="宋体"/>
          <w:color w:val="auto"/>
          <w:sz w:val="24"/>
          <w:highlight w:val="none"/>
          <w:u w:val="none"/>
          <w:shd w:val="clear" w:color="auto" w:fill="auto"/>
        </w:rPr>
        <w:t xml:space="preserve"> 质量要求：</w:t>
      </w:r>
      <w:r>
        <w:rPr>
          <w:rFonts w:hint="eastAsia" w:ascii="宋体" w:hAnsi="宋体" w:cs="宋体"/>
          <w:color w:val="auto"/>
          <w:sz w:val="24"/>
          <w:highlight w:val="none"/>
          <w:u w:val="none"/>
          <w:shd w:val="clear" w:color="auto" w:fill="auto"/>
          <w:lang w:val="en-US" w:eastAsia="zh-CN"/>
        </w:rPr>
        <w:t>成果文件数据准确无误，符合相关行业标准及规划局要求；</w:t>
      </w:r>
    </w:p>
    <w:p>
      <w:pPr>
        <w:spacing w:line="360" w:lineRule="auto"/>
        <w:ind w:firstLine="480" w:firstLineChars="200"/>
        <w:rPr>
          <w:rFonts w:hint="default" w:ascii="宋体" w:hAnsi="宋体" w:eastAsia="宋体" w:cs="宋体"/>
          <w:color w:val="auto"/>
          <w:sz w:val="24"/>
          <w:highlight w:val="none"/>
          <w:u w:val="none"/>
          <w:shd w:val="clear" w:color="auto" w:fill="auto"/>
          <w:lang w:val="en-US" w:eastAsia="zh-CN"/>
        </w:rPr>
      </w:pPr>
      <w:r>
        <w:rPr>
          <w:rFonts w:hint="eastAsia" w:ascii="宋体" w:hAnsi="宋体" w:cs="宋体"/>
          <w:color w:val="auto"/>
          <w:sz w:val="24"/>
          <w:highlight w:val="none"/>
          <w:u w:val="none"/>
          <w:shd w:val="clear" w:color="auto" w:fill="auto"/>
        </w:rPr>
        <w:t>1.</w:t>
      </w:r>
      <w:r>
        <w:rPr>
          <w:rFonts w:hint="eastAsia" w:ascii="宋体" w:hAnsi="宋体" w:cs="宋体"/>
          <w:color w:val="auto"/>
          <w:sz w:val="24"/>
          <w:highlight w:val="none"/>
          <w:u w:val="none"/>
          <w:shd w:val="clear" w:color="auto" w:fill="auto"/>
          <w:lang w:val="en-US" w:eastAsia="zh-CN"/>
        </w:rPr>
        <w:t>6</w:t>
      </w:r>
      <w:r>
        <w:rPr>
          <w:rFonts w:hint="eastAsia" w:ascii="宋体" w:hAnsi="宋体" w:cs="宋体"/>
          <w:color w:val="auto"/>
          <w:sz w:val="24"/>
          <w:highlight w:val="none"/>
          <w:u w:val="none"/>
          <w:shd w:val="clear" w:color="auto" w:fill="auto"/>
        </w:rPr>
        <w:t>工期</w:t>
      </w:r>
      <w:r>
        <w:rPr>
          <w:rFonts w:hint="eastAsia" w:ascii="宋体" w:hAnsi="宋体" w:cs="宋体"/>
          <w:color w:val="auto"/>
          <w:sz w:val="24"/>
          <w:highlight w:val="none"/>
          <w:u w:val="none"/>
          <w:shd w:val="clear" w:color="auto" w:fill="auto"/>
          <w:lang w:eastAsia="zh-CN"/>
        </w:rPr>
        <w:t>：</w:t>
      </w:r>
      <w:r>
        <w:rPr>
          <w:rFonts w:hint="eastAsia" w:ascii="宋体" w:hAnsi="宋体" w:cs="宋体"/>
          <w:color w:val="auto"/>
          <w:sz w:val="24"/>
          <w:highlight w:val="none"/>
          <w:u w:val="none"/>
          <w:shd w:val="clear" w:color="auto" w:fill="auto"/>
          <w:lang w:val="en-US" w:eastAsia="zh-CN"/>
        </w:rPr>
        <w:t>竣工规划核实、土地核验任务下达之日起10个工作日内完成所有测绘工作且出具最终成果。</w:t>
      </w:r>
    </w:p>
    <w:p>
      <w:pPr>
        <w:pStyle w:val="48"/>
        <w:ind w:firstLine="480" w:firstLineChars="200"/>
        <w:rPr>
          <w:color w:val="auto"/>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7采购</w:t>
      </w:r>
      <w:r>
        <w:rPr>
          <w:rFonts w:hint="eastAsia" w:ascii="宋体" w:hAnsi="宋体" w:cs="宋体"/>
          <w:color w:val="auto"/>
          <w:sz w:val="24"/>
          <w:highlight w:val="none"/>
          <w:shd w:val="clear" w:color="auto" w:fill="auto"/>
        </w:rPr>
        <w:t>预算：总预算</w:t>
      </w:r>
      <w:r>
        <w:rPr>
          <w:rFonts w:hint="eastAsia" w:ascii="宋体" w:hAnsi="宋体" w:cs="宋体"/>
          <w:color w:val="auto"/>
          <w:sz w:val="24"/>
          <w:highlight w:val="none"/>
          <w:shd w:val="clear" w:color="auto" w:fill="auto"/>
          <w:lang w:val="en-US" w:eastAsia="zh-CN"/>
        </w:rPr>
        <w:t>约9</w:t>
      </w:r>
      <w:r>
        <w:rPr>
          <w:rFonts w:hint="eastAsia" w:ascii="宋体" w:hAnsi="宋体" w:cs="宋体"/>
          <w:color w:val="auto"/>
          <w:sz w:val="24"/>
          <w:highlight w:val="none"/>
          <w:shd w:val="clear" w:color="auto" w:fill="auto"/>
        </w:rPr>
        <w:t>万元。</w:t>
      </w:r>
    </w:p>
    <w:p>
      <w:pPr>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标段划分：本项目共划分一个标段</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3.供应商资格要求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3.1资质要求：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供应商须具备独立法人资格，具有有效的营业执照</w:t>
      </w:r>
      <w:r>
        <w:rPr>
          <w:rFonts w:hint="eastAsia" w:ascii="宋体" w:hAnsi="宋体" w:cs="宋体"/>
          <w:color w:val="auto"/>
          <w:sz w:val="24"/>
          <w:highlight w:val="none"/>
          <w:lang w:eastAsia="zh-CN"/>
        </w:rPr>
        <w:t>，</w:t>
      </w:r>
      <w:r>
        <w:rPr>
          <w:rFonts w:hint="eastAsia" w:ascii="宋体" w:hAnsi="宋体" w:cs="宋体"/>
          <w:color w:val="auto"/>
          <w:sz w:val="24"/>
          <w:highlight w:val="none"/>
        </w:rPr>
        <w:t>且具备测绘乙级及以上测绘资质。项目负责人需为注册测绘师</w:t>
      </w:r>
      <w:r>
        <w:rPr>
          <w:rFonts w:hint="eastAsia" w:ascii="宋体" w:hAnsi="宋体" w:cs="宋体"/>
          <w:color w:val="auto"/>
          <w:sz w:val="24"/>
          <w:highlight w:val="none"/>
          <w:lang w:val="en-US" w:eastAsia="zh-CN"/>
        </w:rPr>
        <w:t>并注册于供应商单位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提供注册证、供应商与其签订的劳动合同及供应商为其缴纳的2025年以来任意一个月社保缴纳证明</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3.2财务要求：供应商应具有良好的银行资信和商业信誉，没有处于无法清偿到期债务状态，且企业或企业资产未被重组、接管和冻结状态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提供</w:t>
      </w:r>
      <w:r>
        <w:rPr>
          <w:rFonts w:hint="eastAsia" w:ascii="宋体" w:hAnsi="宋体" w:cs="宋体"/>
          <w:color w:val="auto"/>
          <w:sz w:val="24"/>
          <w:highlight w:val="none"/>
          <w:lang w:val="en-US" w:eastAsia="zh-CN"/>
        </w:rPr>
        <w:t>2023年度</w:t>
      </w:r>
      <w:r>
        <w:rPr>
          <w:rFonts w:hint="eastAsia" w:ascii="宋体" w:hAnsi="宋体" w:eastAsia="宋体" w:cs="宋体"/>
          <w:color w:val="auto"/>
          <w:sz w:val="24"/>
          <w:highlight w:val="none"/>
          <w:lang w:val="en-US" w:eastAsia="zh-CN"/>
        </w:rPr>
        <w:t>经会计师事务所或第三方审计机构审计后的财务报告</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单位出具承诺证明</w:t>
      </w:r>
      <w:r>
        <w:rPr>
          <w:rFonts w:hint="eastAsia" w:ascii="宋体" w:hAnsi="宋体" w:cs="宋体"/>
          <w:color w:val="auto"/>
          <w:sz w:val="24"/>
          <w:highlight w:val="none"/>
          <w:lang w:eastAsia="zh-CN"/>
        </w:rPr>
        <w:t>并加盖公章</w:t>
      </w:r>
      <w:r>
        <w:rPr>
          <w:rFonts w:hint="eastAsia" w:ascii="宋体" w:hAnsi="宋体" w:eastAsia="宋体" w:cs="宋体"/>
          <w:color w:val="auto"/>
          <w:sz w:val="24"/>
          <w:highlight w:val="none"/>
          <w:lang w:val="en-US" w:eastAsia="zh-CN"/>
        </w:rPr>
        <w:t>，成立不足一年的企业提供财务报表或基本账户开具的银行资信证明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3.3业绩要求：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年1月1日以来（以合同签订时间为准）具有1项</w:t>
      </w:r>
      <w:r>
        <w:rPr>
          <w:rFonts w:hint="eastAsia" w:ascii="宋体" w:hAnsi="宋体" w:cs="宋体"/>
          <w:color w:val="auto"/>
          <w:sz w:val="24"/>
          <w:highlight w:val="none"/>
          <w:lang w:val="en-US" w:eastAsia="zh-CN"/>
        </w:rPr>
        <w:t>规划核实或土地核验测绘</w:t>
      </w:r>
      <w:r>
        <w:rPr>
          <w:rFonts w:hint="eastAsia" w:ascii="宋体" w:hAnsi="宋体" w:cs="宋体"/>
          <w:color w:val="auto"/>
          <w:sz w:val="24"/>
          <w:highlight w:val="none"/>
        </w:rPr>
        <w:t>业绩，提供业绩合同书证明材料。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信誉要求：</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.1供应商</w:t>
      </w:r>
      <w:r>
        <w:rPr>
          <w:rFonts w:hint="eastAsia" w:ascii="宋体" w:hAnsi="宋体" w:eastAsia="宋体" w:cs="宋体"/>
          <w:i w:val="0"/>
          <w:caps w:val="0"/>
          <w:color w:val="auto"/>
          <w:spacing w:val="0"/>
          <w:sz w:val="24"/>
          <w:szCs w:val="24"/>
          <w:highlight w:val="none"/>
          <w:shd w:val="clear" w:fill="FFFFFF"/>
        </w:rPr>
        <w:t>没有处于尚在执行期的</w:t>
      </w:r>
      <w:r>
        <w:rPr>
          <w:rFonts w:hint="eastAsia" w:ascii="宋体" w:hAnsi="宋体" w:cs="宋体"/>
          <w:color w:val="auto"/>
          <w:sz w:val="24"/>
          <w:highlight w:val="none"/>
        </w:rPr>
        <w:t>被责令停产停业、被暂停或</w:t>
      </w:r>
      <w:r>
        <w:rPr>
          <w:rFonts w:hint="eastAsia" w:ascii="宋体" w:hAnsi="宋体" w:cs="宋体"/>
          <w:color w:val="auto"/>
          <w:sz w:val="24"/>
          <w:highlight w:val="none"/>
          <w:lang w:eastAsia="zh-CN"/>
        </w:rPr>
        <w:t>响应</w:t>
      </w:r>
      <w:r>
        <w:rPr>
          <w:rFonts w:hint="eastAsia" w:ascii="宋体" w:hAnsi="宋体" w:cs="宋体"/>
          <w:color w:val="auto"/>
          <w:sz w:val="24"/>
          <w:highlight w:val="none"/>
        </w:rPr>
        <w:t>资格被取消状态（单位出具承诺证明</w:t>
      </w:r>
      <w:r>
        <w:rPr>
          <w:rFonts w:hint="eastAsia" w:ascii="宋体" w:hAnsi="宋体" w:cs="宋体"/>
          <w:color w:val="auto"/>
          <w:sz w:val="24"/>
          <w:highlight w:val="none"/>
          <w:lang w:eastAsia="zh-CN"/>
        </w:rPr>
        <w:t>并加盖公章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pPr>
        <w:spacing w:line="360" w:lineRule="auto"/>
        <w:ind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2供应商应提供通过“信用中国”网站（www.creditchina.gov.cn）或“中国执行信息公开网”网站（http://zxgk.court.gov.cn/shixin/）渠道查询相关主体（含单位、企业法定代表人）失信行为。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单位失信查询，查询路径：登录信用中国网-点击信用服务-点击失信被执行人跳转至中国执行信息公开网或直接打开中国执行信息公开网点击失信被执行人-在被执行人姓名/名称中输入投标人名称-身份证号码/组织机构代码中输入组织机构代码-输入验证码后查询；</w:t>
      </w:r>
    </w:p>
    <w:p>
      <w:pPr>
        <w:spacing w:line="360" w:lineRule="auto"/>
        <w:ind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法定代表人失信查询，查询路径：登录信用中国网-点击信用服务-点击失信被执行人跳转至中国执行信息公开网或直接打开中国执行信息公开网点击失信被执行人-在被执行人姓名/名称中输入法定代表人姓名-身份证号码/组织机构代码中输入法定代表人身份证号码-输入验证码后查询；</w:t>
      </w:r>
    </w:p>
    <w:p>
      <w:pPr>
        <w:spacing w:line="360" w:lineRule="auto"/>
        <w:ind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以上查询结果提供相关网页截图，截图须显示查询时间，查询时间自询比公告发布</w:t>
      </w:r>
    </w:p>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日期之后，若弄虚作假一经核实取消投标（中标）资格，经查询若上述查询对象任意一个存在失信记录的，其投标按无效标处理；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其他要求：</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cs="宋体"/>
          <w:color w:val="auto"/>
          <w:sz w:val="24"/>
          <w:highlight w:val="none"/>
        </w:rPr>
        <w:t>单位负责人为同一人或者存在控股、管理关系的不同单位，不得参加同一标段或者未划分标段的同一采购项目报名</w:t>
      </w:r>
      <w:r>
        <w:rPr>
          <w:rFonts w:hint="eastAsia" w:ascii="宋体" w:hAnsi="宋体" w:cs="宋体"/>
          <w:color w:val="auto"/>
          <w:sz w:val="24"/>
          <w:highlight w:val="none"/>
          <w:lang w:eastAsia="zh-CN"/>
        </w:rPr>
        <w:t>（提供加盖供应商公章的“全国企业信用信息公示系统”中公示的公司信息网页查询证明，</w:t>
      </w:r>
      <w:r>
        <w:rPr>
          <w:rFonts w:hint="eastAsia" w:ascii="宋体" w:hAnsi="宋体" w:eastAsia="宋体" w:cs="宋体"/>
          <w:i w:val="0"/>
          <w:caps w:val="0"/>
          <w:color w:val="auto"/>
          <w:spacing w:val="0"/>
          <w:sz w:val="24"/>
          <w:szCs w:val="24"/>
          <w:highlight w:val="none"/>
          <w:shd w:val="clear" w:fill="FFFFFF"/>
        </w:rPr>
        <w:t>，须显示股东或主要负责人信息</w:t>
      </w:r>
      <w:r>
        <w:rPr>
          <w:rFonts w:hint="eastAsia" w:ascii="宋体" w:hAnsi="宋体" w:cs="宋体"/>
          <w:i w:val="0"/>
          <w:caps w:val="0"/>
          <w:color w:val="auto"/>
          <w:spacing w:val="0"/>
          <w:sz w:val="24"/>
          <w:szCs w:val="24"/>
          <w:highlight w:val="none"/>
          <w:shd w:val="clear" w:fill="FFFFFF"/>
          <w:lang w:eastAsia="zh-CN"/>
        </w:rPr>
        <w:t>，</w:t>
      </w:r>
      <w:r>
        <w:rPr>
          <w:rFonts w:hint="eastAsia" w:ascii="宋体" w:hAnsi="宋体" w:cs="宋体"/>
          <w:color w:val="auto"/>
          <w:sz w:val="24"/>
          <w:highlight w:val="none"/>
          <w:lang w:val="en-US" w:eastAsia="zh-CN"/>
        </w:rPr>
        <w:t>查询结果提供相关网页截图，截图须显示查询时间，查询时间自询比公告发布日期之后</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cs="宋体"/>
          <w:color w:val="auto"/>
          <w:sz w:val="24"/>
          <w:highlight w:val="none"/>
        </w:rPr>
        <w:t>。</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4.询比文件的获取</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4.1询比采购文件获取时间：2025年4月14日至2025年4月18日</w:t>
      </w:r>
    </w:p>
    <w:p>
      <w:pPr>
        <w:keepNext w:val="0"/>
        <w:keepLines w:val="0"/>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4.2询比文件获取方式：</w:t>
      </w:r>
      <w:r>
        <w:rPr>
          <w:rFonts w:hint="eastAsia" w:ascii="宋体" w:hAnsi="宋体" w:eastAsia="宋体" w:cs="宋体"/>
          <w:color w:val="auto"/>
          <w:sz w:val="24"/>
          <w:highlight w:val="none"/>
          <w:lang w:val="en-US" w:eastAsia="zh-CN"/>
        </w:rPr>
        <w:t>凡有意参与采购活动者，</w:t>
      </w:r>
      <w:r>
        <w:rPr>
          <w:rFonts w:hint="eastAsia" w:ascii="宋体" w:hAnsi="宋体" w:eastAsia="宋体" w:cs="宋体"/>
          <w:color w:val="auto"/>
          <w:sz w:val="24"/>
          <w:highlight w:val="none"/>
          <w:lang w:eastAsia="zh-CN"/>
        </w:rPr>
        <w:t>请于</w:t>
      </w:r>
      <w:r>
        <w:rPr>
          <w:rFonts w:hint="eastAsia" w:ascii="宋体" w:hAnsi="宋体" w:eastAsia="宋体" w:cs="宋体"/>
          <w:color w:val="auto"/>
          <w:sz w:val="24"/>
          <w:highlight w:val="none"/>
          <w:lang w:val="en-US" w:eastAsia="zh-CN"/>
        </w:rPr>
        <w:t>响应文件递交截至日期前</w:t>
      </w:r>
      <w:r>
        <w:rPr>
          <w:rFonts w:hint="eastAsia" w:ascii="宋体" w:hAnsi="宋体" w:eastAsia="宋体" w:cs="宋体"/>
          <w:color w:val="auto"/>
          <w:sz w:val="24"/>
          <w:highlight w:val="none"/>
          <w:lang w:eastAsia="zh-CN"/>
        </w:rPr>
        <w:t>登录“</w:t>
      </w:r>
      <w:r>
        <w:rPr>
          <w:rFonts w:hint="eastAsia" w:ascii="宋体" w:hAnsi="宋体" w:eastAsia="宋体" w:cs="宋体"/>
          <w:color w:val="auto"/>
          <w:sz w:val="24"/>
          <w:highlight w:val="none"/>
          <w:lang w:val="en-US" w:eastAsia="zh-CN"/>
        </w:rPr>
        <w:t>郑州自来水投资控股有限公司”（</w:t>
      </w: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"http://www.cebpubservice.com/" </w:instrText>
      </w:r>
      <w:r>
        <w:rPr>
          <w:rFonts w:hint="eastAsia" w:ascii="宋体" w:hAnsi="宋体" w:eastAsia="宋体" w:cs="宋体"/>
          <w:color w:val="auto"/>
          <w:sz w:val="24"/>
          <w:highlight w:val="none"/>
          <w:lang w:eastAsia="zh-CN"/>
        </w:rPr>
        <w:fldChar w:fldCharType="separate"/>
      </w:r>
      <w:r>
        <w:rPr>
          <w:rFonts w:hint="eastAsia" w:ascii="宋体" w:hAnsi="宋体" w:eastAsia="宋体" w:cs="宋体"/>
          <w:color w:val="auto"/>
          <w:sz w:val="24"/>
          <w:highlight w:val="none"/>
          <w:lang w:eastAsia="zh-CN"/>
        </w:rPr>
        <w:t>http://www.</w:t>
      </w:r>
      <w:r>
        <w:rPr>
          <w:rFonts w:hint="eastAsia" w:ascii="宋体" w:hAnsi="宋体" w:eastAsia="宋体" w:cs="宋体"/>
          <w:color w:val="auto"/>
          <w:sz w:val="24"/>
          <w:highlight w:val="none"/>
          <w:lang w:val="en-US" w:eastAsia="zh-CN"/>
        </w:rPr>
        <w:t>zzwater</w:t>
      </w:r>
      <w:r>
        <w:rPr>
          <w:rFonts w:hint="eastAsia" w:ascii="宋体" w:hAnsi="宋体" w:eastAsia="宋体" w:cs="宋体"/>
          <w:color w:val="auto"/>
          <w:sz w:val="24"/>
          <w:highlight w:val="none"/>
          <w:lang w:eastAsia="zh-CN"/>
        </w:rPr>
        <w:t>.com</w:t>
      </w:r>
      <w:r>
        <w:rPr>
          <w:rFonts w:hint="eastAsia" w:ascii="宋体" w:hAnsi="宋体" w:eastAsia="宋体" w:cs="宋体"/>
          <w:color w:val="auto"/>
          <w:sz w:val="24"/>
          <w:highlight w:val="none"/>
          <w:lang w:val="en-US" w:eastAsia="zh-CN"/>
        </w:rPr>
        <w:t>.cn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fldChar w:fldCharType="end"/>
      </w:r>
      <w:r>
        <w:rPr>
          <w:rFonts w:hint="eastAsia" w:ascii="宋体" w:hAnsi="宋体" w:eastAsia="宋体" w:cs="宋体"/>
          <w:color w:val="auto"/>
          <w:sz w:val="24"/>
          <w:highlight w:val="none"/>
          <w:lang w:eastAsia="zh-CN"/>
        </w:rPr>
        <w:t>）进行</w:t>
      </w:r>
      <w:r>
        <w:rPr>
          <w:rFonts w:hint="eastAsia" w:ascii="宋体" w:hAnsi="宋体" w:eastAsia="宋体" w:cs="宋体"/>
          <w:color w:val="auto"/>
          <w:sz w:val="24"/>
          <w:highlight w:val="none"/>
          <w:lang w:val="en-US" w:eastAsia="zh-CN"/>
        </w:rPr>
        <w:t>查看</w:t>
      </w:r>
      <w:r>
        <w:rPr>
          <w:rFonts w:hint="eastAsia" w:ascii="宋体" w:hAnsi="宋体" w:eastAsia="宋体" w:cs="宋体"/>
          <w:color w:val="auto"/>
          <w:sz w:val="24"/>
          <w:highlight w:val="none"/>
          <w:lang w:eastAsia="zh-CN"/>
        </w:rPr>
        <w:t>下载。</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5．响应文件的递交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 响应文件的递交截止时间：响应文件必须以密封形式于202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下午15</w:t>
      </w:r>
      <w:r>
        <w:rPr>
          <w:rFonts w:hint="eastAsia" w:ascii="宋体" w:hAnsi="宋体" w:cs="宋体"/>
          <w:color w:val="auto"/>
          <w:sz w:val="24"/>
          <w:highlight w:val="none"/>
        </w:rPr>
        <w:t>：00时前递交，逾期不受理。</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5.2响应文件的递交地点：郑州市中原区工农路3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号院8号楼305室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5.3递交询比响应文件的方式：邮寄或到现场递交。</w:t>
      </w:r>
    </w:p>
    <w:p>
      <w:pPr>
        <w:spacing w:line="520" w:lineRule="exact"/>
        <w:ind w:firstLine="480" w:firstLineChars="200"/>
        <w:rPr>
          <w:color w:val="auto"/>
          <w:highlight w:val="none"/>
        </w:rPr>
      </w:pPr>
      <w:r>
        <w:rPr>
          <w:rFonts w:hint="eastAsia" w:ascii="宋体" w:hAnsi="宋体" w:cs="宋体"/>
          <w:color w:val="auto"/>
          <w:sz w:val="24"/>
          <w:highlight w:val="none"/>
        </w:rPr>
        <w:t xml:space="preserve"> 逾期送达的或者未送达指定地点的或者不按照采购文件要求密封的询比采购响应文件，采购人不予受理。</w:t>
      </w:r>
    </w:p>
    <w:p>
      <w:pPr>
        <w:pStyle w:val="35"/>
        <w:ind w:firstLine="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6.评审会议</w:t>
      </w:r>
    </w:p>
    <w:p>
      <w:pPr>
        <w:pStyle w:val="3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下午15：0</w:t>
      </w:r>
      <w:r>
        <w:rPr>
          <w:rFonts w:hint="eastAsia" w:ascii="宋体" w:hAnsi="宋体" w:cs="宋体"/>
          <w:color w:val="auto"/>
          <w:sz w:val="24"/>
          <w:szCs w:val="24"/>
          <w:highlight w:val="none"/>
        </w:rPr>
        <w:t>0分（北京时间）</w:t>
      </w:r>
    </w:p>
    <w:p>
      <w:pPr>
        <w:pStyle w:val="3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6.2地点：郑州市中原区工农路31号院8号楼405楼会议室</w:t>
      </w:r>
    </w:p>
    <w:p>
      <w:pPr>
        <w:pStyle w:val="35"/>
        <w:ind w:firstLine="0" w:firstLineChars="0"/>
        <w:rPr>
          <w:rFonts w:ascii="宋体" w:hAnsi="宋体" w:cs="宋体"/>
          <w:color w:val="auto"/>
          <w:sz w:val="24"/>
          <w:szCs w:val="24"/>
          <w:highlight w:val="none"/>
        </w:rPr>
      </w:pPr>
      <w:bookmarkStart w:id="4" w:name="_Toc604"/>
      <w:bookmarkStart w:id="5" w:name="_Toc24829"/>
      <w:bookmarkStart w:id="6" w:name="_Toc12743"/>
      <w:bookmarkStart w:id="7" w:name="_Toc8591"/>
      <w:r>
        <w:rPr>
          <w:rFonts w:hint="eastAsia" w:ascii="宋体" w:hAnsi="宋体" w:cs="宋体"/>
          <w:b/>
          <w:bCs/>
          <w:color w:val="auto"/>
          <w:sz w:val="24"/>
          <w:szCs w:val="24"/>
          <w:highlight w:val="none"/>
        </w:rPr>
        <w:t>7.发布公告的媒介</w:t>
      </w:r>
      <w:r>
        <w:rPr>
          <w:rFonts w:hint="eastAsia" w:ascii="宋体" w:hAnsi="宋体" w:cs="宋体"/>
          <w:color w:val="auto"/>
          <w:sz w:val="24"/>
          <w:szCs w:val="24"/>
          <w:highlight w:val="none"/>
        </w:rPr>
        <w:t> </w:t>
      </w:r>
      <w:bookmarkEnd w:id="4"/>
      <w:bookmarkEnd w:id="5"/>
      <w:bookmarkEnd w:id="6"/>
      <w:bookmarkEnd w:id="7"/>
    </w:p>
    <w:p>
      <w:pPr>
        <w:pStyle w:val="35"/>
        <w:ind w:firstLine="480" w:firstLineChars="200"/>
        <w:rPr>
          <w:color w:val="auto"/>
          <w:highlight w:val="none"/>
        </w:rPr>
      </w:pPr>
      <w:r>
        <w:rPr>
          <w:rFonts w:hint="eastAsia" w:ascii="宋体" w:hAnsi="宋体" w:cs="宋体"/>
          <w:color w:val="auto"/>
          <w:sz w:val="24"/>
          <w:szCs w:val="24"/>
          <w:highlight w:val="none"/>
        </w:rPr>
        <w:t>本采购公告在中国招标投标公共服务平台和</w:t>
      </w:r>
      <w:r>
        <w:rPr>
          <w:rFonts w:hint="eastAsia" w:ascii="宋体" w:hAnsi="宋体" w:cs="宋体"/>
          <w:color w:val="auto"/>
          <w:sz w:val="24"/>
          <w:szCs w:val="24"/>
          <w:highlight w:val="none"/>
          <w:lang w:val="en-US" w:eastAsia="zh-CN"/>
        </w:rPr>
        <w:t>郑州自来水投资控股有限公司</w:t>
      </w:r>
      <w:r>
        <w:rPr>
          <w:rFonts w:hint="eastAsia" w:ascii="宋体" w:hAnsi="宋体" w:cs="宋体"/>
          <w:color w:val="auto"/>
          <w:sz w:val="24"/>
          <w:szCs w:val="24"/>
          <w:highlight w:val="none"/>
        </w:rPr>
        <w:t>网站发布。采购人对任何转载信息及由此产生的后果均不承担任何责任。</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8.联系方式 </w:t>
      </w:r>
    </w:p>
    <w:p>
      <w:pPr>
        <w:pStyle w:val="3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 购 人：郑州自来水投资控股有限公司</w:t>
      </w:r>
    </w:p>
    <w:p>
      <w:pPr>
        <w:pStyle w:val="3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 系 人： </w:t>
      </w:r>
      <w:r>
        <w:rPr>
          <w:rFonts w:hint="eastAsia" w:ascii="宋体" w:hAnsi="宋体" w:cs="宋体"/>
          <w:color w:val="auto"/>
          <w:sz w:val="24"/>
          <w:szCs w:val="24"/>
          <w:highlight w:val="none"/>
          <w:lang w:val="en-US" w:eastAsia="zh-CN"/>
        </w:rPr>
        <w:t>吴</w:t>
      </w:r>
      <w:r>
        <w:rPr>
          <w:rFonts w:hint="eastAsia" w:ascii="宋体" w:hAnsi="宋体" w:cs="宋体"/>
          <w:color w:val="auto"/>
          <w:sz w:val="24"/>
          <w:szCs w:val="24"/>
          <w:highlight w:val="none"/>
        </w:rPr>
        <w:t>工</w:t>
      </w:r>
    </w:p>
    <w:p>
      <w:pPr>
        <w:pStyle w:val="3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联系电话：0371-67695370</w:t>
      </w:r>
    </w:p>
    <w:p>
      <w:pPr>
        <w:pStyle w:val="3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lang w:val="en-US" w:eastAsia="zh-CN"/>
        </w:rPr>
        <w:t>398231052</w:t>
      </w:r>
      <w:r>
        <w:rPr>
          <w:rFonts w:hint="eastAsia" w:ascii="宋体" w:hAnsi="宋体" w:cs="宋体"/>
          <w:color w:val="auto"/>
          <w:sz w:val="24"/>
          <w:szCs w:val="24"/>
          <w:highlight w:val="none"/>
        </w:rPr>
        <w:t>@qq.com</w:t>
      </w:r>
    </w:p>
    <w:p>
      <w:pPr>
        <w:pStyle w:val="35"/>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址：郑州市中原区工农路3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号院</w:t>
      </w:r>
    </w:p>
    <w:p>
      <w:pPr>
        <w:pStyle w:val="35"/>
        <w:spacing w:line="52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w:t>
      </w:r>
    </w:p>
    <w:p>
      <w:pPr>
        <w:pStyle w:val="2"/>
        <w:rPr>
          <w:rFonts w:hint="eastAsia"/>
          <w:color w:val="auto"/>
          <w:highlight w:val="none"/>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rPr>
          <w:rFonts w:hint="eastAsia" w:ascii="宋体" w:hAnsi="宋体" w:cs="宋体"/>
          <w:color w:val="auto"/>
          <w:sz w:val="24"/>
          <w:szCs w:val="24"/>
          <w:highlight w:val="none"/>
          <w:shd w:val="clear" w:color="auto" w:fill="auto"/>
        </w:rPr>
      </w:pPr>
    </w:p>
    <w:p>
      <w:pPr>
        <w:pStyle w:val="36"/>
        <w:ind w:left="0" w:leftChars="0" w:firstLine="0" w:firstLineChars="0"/>
        <w:rPr>
          <w:color w:val="auto"/>
          <w:highlight w:val="none"/>
          <w:shd w:val="clear" w:color="auto" w:fill="auto"/>
        </w:rPr>
      </w:pPr>
    </w:p>
    <w:p>
      <w:pPr>
        <w:pStyle w:val="6"/>
        <w:tabs>
          <w:tab w:val="left" w:pos="3686"/>
          <w:tab w:val="center" w:pos="5396"/>
        </w:tabs>
        <w:jc w:val="left"/>
        <w:rPr>
          <w:rFonts w:ascii="宋体" w:hAnsi="宋体" w:cs="宋体"/>
          <w:color w:val="auto"/>
          <w:highlight w:val="none"/>
          <w:shd w:val="clear" w:color="auto" w:fill="auto"/>
        </w:rPr>
      </w:pPr>
      <w:bookmarkStart w:id="8" w:name="_Toc3121"/>
      <w:r>
        <w:rPr>
          <w:rFonts w:hint="eastAsia" w:ascii="宋体" w:hAnsi="宋体" w:cs="宋体"/>
          <w:color w:val="auto"/>
          <w:highlight w:val="none"/>
          <w:shd w:val="clear" w:color="auto" w:fill="auto"/>
        </w:rPr>
        <w:tab/>
      </w:r>
      <w:r>
        <w:rPr>
          <w:rFonts w:hint="eastAsia" w:ascii="宋体" w:hAnsi="宋体" w:cs="宋体"/>
          <w:color w:val="auto"/>
          <w:highlight w:val="none"/>
          <w:shd w:val="clear" w:color="auto" w:fill="auto"/>
        </w:rPr>
        <w:tab/>
      </w:r>
      <w:bookmarkStart w:id="9" w:name="_Toc24158"/>
      <w:bookmarkStart w:id="10" w:name="_Toc17082"/>
      <w:r>
        <w:rPr>
          <w:rStyle w:val="81"/>
          <w:rFonts w:hint="eastAsia"/>
          <w:b/>
          <w:color w:val="auto"/>
          <w:highlight w:val="none"/>
          <w:shd w:val="clear" w:color="auto" w:fill="auto"/>
        </w:rPr>
        <w:t>第二章   供应商须知</w:t>
      </w:r>
      <w:bookmarkEnd w:id="8"/>
      <w:bookmarkEnd w:id="9"/>
      <w:bookmarkEnd w:id="10"/>
    </w:p>
    <w:p>
      <w:pPr>
        <w:pStyle w:val="6"/>
        <w:jc w:val="left"/>
        <w:rPr>
          <w:color w:val="auto"/>
          <w:sz w:val="24"/>
          <w:szCs w:val="16"/>
          <w:highlight w:val="none"/>
          <w:shd w:val="clear" w:color="auto" w:fill="auto"/>
        </w:rPr>
      </w:pPr>
      <w:bookmarkStart w:id="11" w:name="_Toc9706"/>
      <w:bookmarkStart w:id="12" w:name="_Toc10618"/>
      <w:r>
        <w:rPr>
          <w:rFonts w:hint="eastAsia"/>
          <w:color w:val="auto"/>
          <w:sz w:val="24"/>
          <w:szCs w:val="16"/>
          <w:highlight w:val="none"/>
          <w:shd w:val="clear" w:color="auto" w:fill="auto"/>
        </w:rPr>
        <w:t>一、供应商须知前附表</w:t>
      </w:r>
      <w:bookmarkEnd w:id="11"/>
    </w:p>
    <w:tbl>
      <w:tblPr>
        <w:tblStyle w:val="37"/>
        <w:tblpPr w:leftFromText="180" w:rightFromText="180" w:topFromText="100" w:bottomFromText="100" w:vertAnchor="text" w:horzAnchor="margin" w:tblpXSpec="center" w:tblpY="15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36"/>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编号</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35"/>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1.1.1</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采购人</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采 购 人：郑州自来水投资控股有限公司</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吴</w:t>
            </w:r>
            <w:r>
              <w:rPr>
                <w:rFonts w:hint="eastAsia" w:ascii="宋体" w:hAnsi="宋体" w:cs="宋体"/>
                <w:color w:val="auto"/>
                <w:sz w:val="24"/>
                <w:highlight w:val="none"/>
              </w:rPr>
              <w:t>工</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联系电话：0371-67695370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1.1.2</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采购</w:t>
            </w:r>
            <w:r>
              <w:rPr>
                <w:rFonts w:hint="eastAsia" w:ascii="宋体" w:hAnsi="宋体" w:cs="宋体"/>
                <w:b/>
                <w:bCs/>
                <w:color w:val="auto"/>
                <w:sz w:val="24"/>
                <w:highlight w:val="none"/>
              </w:rPr>
              <w:t>项目名称</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none"/>
                <w:shd w:val="clear" w:color="auto" w:fill="auto"/>
                <w:lang w:val="en-US" w:eastAsia="zh-CN"/>
              </w:rPr>
              <w:t>郑州市石佛水厂改造工程-竣工规划核实、土地核验测绘（二次）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sz w:val="24"/>
                <w:highlight w:val="none"/>
              </w:rPr>
              <w:t>1.1.3</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采购</w:t>
            </w:r>
            <w:r>
              <w:rPr>
                <w:rFonts w:hint="eastAsia" w:ascii="宋体" w:hAnsi="宋体" w:cs="宋体"/>
                <w:b/>
                <w:bCs/>
                <w:color w:val="auto"/>
                <w:kern w:val="0"/>
                <w:sz w:val="24"/>
                <w:highlight w:val="none"/>
                <w:lang w:val="en-US" w:eastAsia="zh-CN"/>
              </w:rPr>
              <w:t>内容</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48"/>
              <w:ind w:firstLine="480" w:firstLineChars="200"/>
              <w:rPr>
                <w:rFonts w:hint="eastAsia" w:ascii="宋体" w:hAnsi="宋体" w:eastAsia="宋体" w:cs="宋体"/>
                <w:color w:val="auto"/>
                <w:highlight w:val="none"/>
                <w:lang w:eastAsia="zh-CN"/>
              </w:rPr>
            </w:pPr>
            <w:r>
              <w:rPr>
                <w:rFonts w:hint="eastAsia" w:ascii="宋体" w:hAnsi="宋体" w:cs="宋体"/>
                <w:color w:val="auto"/>
                <w:sz w:val="24"/>
                <w:highlight w:val="none"/>
                <w:u w:val="none"/>
                <w:shd w:val="clear" w:color="auto" w:fill="auto"/>
                <w:lang w:val="en-US" w:eastAsia="zh-CN"/>
              </w:rPr>
              <w:t>郑州市石佛水厂改造工程-竣工规划核实、土地核验测绘，包含对郑州市石佛水厂改造工程所有已竣工工程进行规划核实</w:t>
            </w:r>
            <w:r>
              <w:rPr>
                <w:rFonts w:hint="eastAsia" w:ascii="宋体" w:hAnsi="宋体" w:cs="宋体"/>
                <w:color w:val="auto"/>
                <w:sz w:val="24"/>
                <w:highlight w:val="none"/>
              </w:rPr>
              <w:t>、土地核验</w:t>
            </w:r>
            <w:r>
              <w:rPr>
                <w:rFonts w:hint="eastAsia" w:ascii="宋体" w:hAnsi="宋体" w:cs="宋体"/>
                <w:color w:val="auto"/>
                <w:sz w:val="24"/>
                <w:highlight w:val="none"/>
                <w:lang w:val="en-US" w:eastAsia="zh-CN"/>
              </w:rPr>
              <w:t>测绘</w:t>
            </w:r>
            <w:r>
              <w:rPr>
                <w:rFonts w:hint="eastAsia" w:ascii="宋体" w:hAnsi="宋体" w:cs="宋体"/>
                <w:color w:val="auto"/>
                <w:sz w:val="24"/>
                <w:highlight w:val="none"/>
                <w:u w:val="none"/>
                <w:shd w:val="clear" w:color="auto" w:fill="auto"/>
                <w:lang w:val="en-US" w:eastAsia="zh-CN"/>
              </w:rPr>
              <w:t>，</w:t>
            </w:r>
            <w:r>
              <w:rPr>
                <w:rFonts w:hint="eastAsia" w:ascii="宋体" w:hAnsi="宋体" w:cs="宋体"/>
                <w:color w:val="auto"/>
                <w:sz w:val="24"/>
                <w:highlight w:val="none"/>
              </w:rPr>
              <w:t>出具规划核实报告、土地核验报告及配合相关规划手续的办理工作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sz w:val="24"/>
                <w:highlight w:val="none"/>
              </w:rPr>
              <w:t>1.1.4</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工</w:t>
            </w:r>
            <w:r>
              <w:rPr>
                <w:rFonts w:hint="eastAsia" w:ascii="宋体" w:hAnsi="宋体" w:cs="宋体"/>
                <w:b/>
                <w:bCs/>
                <w:color w:val="auto"/>
                <w:kern w:val="0"/>
                <w:sz w:val="24"/>
                <w:highlight w:val="none"/>
              </w:rPr>
              <w:t>期</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none"/>
                <w:shd w:val="clear" w:color="auto" w:fill="auto"/>
                <w:lang w:val="en-US" w:eastAsia="zh-CN"/>
              </w:rPr>
              <w:t>竣工规划核实、土地核验任务下达之日起10个工作日内完成所有测绘工作且出具最终成果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1.1.5</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质量要求</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uto"/>
              <w:ind w:left="105" w:leftChars="50" w:right="105" w:rightChars="50"/>
              <w:textAlignment w:val="center"/>
              <w:rPr>
                <w:rFonts w:ascii="宋体" w:hAnsi="宋体" w:cs="宋体"/>
                <w:color w:val="auto"/>
                <w:sz w:val="24"/>
                <w:highlight w:val="none"/>
              </w:rPr>
            </w:pPr>
            <w:r>
              <w:rPr>
                <w:rFonts w:hint="eastAsia" w:ascii="宋体" w:hAnsi="宋体" w:cs="宋体"/>
                <w:color w:val="auto"/>
                <w:sz w:val="24"/>
                <w:highlight w:val="none"/>
                <w:u w:val="none"/>
                <w:shd w:val="clear" w:color="auto" w:fill="auto"/>
                <w:lang w:val="en-US" w:eastAsia="zh-CN"/>
              </w:rPr>
              <w:t>成果文件数据准确无误，符合相关行业标准及规划局要求；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1.1.6</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资金来源及落实情况</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1228"/>
              </w:tabs>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财政资金+</w:t>
            </w:r>
            <w:r>
              <w:rPr>
                <w:rFonts w:hint="eastAsia" w:ascii="宋体" w:hAnsi="宋体" w:cs="宋体"/>
                <w:color w:val="auto"/>
                <w:sz w:val="24"/>
                <w:highlight w:val="none"/>
              </w:rPr>
              <w:t>自筹，出资比例</w:t>
            </w:r>
            <w:r>
              <w:rPr>
                <w:rFonts w:hint="eastAsia" w:ascii="宋体" w:hAnsi="宋体" w:cs="宋体"/>
                <w:color w:val="auto"/>
                <w:sz w:val="24"/>
                <w:highlight w:val="none"/>
                <w:lang w:val="en-US" w:eastAsia="zh-CN"/>
              </w:rPr>
              <w:t>财政35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自筹</w:t>
            </w:r>
            <w:r>
              <w:rPr>
                <w:rFonts w:hint="eastAsia" w:ascii="宋体" w:hAnsi="宋体" w:cs="宋体"/>
                <w:color w:val="auto"/>
                <w:sz w:val="24"/>
                <w:highlight w:val="none"/>
                <w:lang w:val="en-US" w:eastAsia="zh-CN"/>
              </w:rPr>
              <w:t>65%</w:t>
            </w:r>
            <w:r>
              <w:rPr>
                <w:rFonts w:hint="eastAsia" w:ascii="宋体" w:hAnsi="宋体" w:cs="宋体"/>
                <w:color w:val="auto"/>
                <w:sz w:val="24"/>
                <w:highlight w:val="none"/>
              </w:rPr>
              <w:t>，资金已落</w:t>
            </w:r>
            <w:r>
              <w:rPr>
                <w:rFonts w:hint="eastAsia" w:ascii="宋体" w:hAnsi="宋体" w:cs="宋体"/>
                <w:color w:val="auto"/>
                <w:sz w:val="24"/>
                <w:highlight w:val="none"/>
                <w:lang w:val="en-US" w:eastAsia="zh-CN"/>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1.1.7</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标段划分</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本项目共划分一个标段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响应人资格要求</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.1资质要求：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供应商须具备独立法人资格，具有有效的营业执照</w:t>
            </w:r>
            <w:r>
              <w:rPr>
                <w:rFonts w:hint="eastAsia" w:ascii="宋体" w:hAnsi="宋体" w:cs="宋体"/>
                <w:color w:val="auto"/>
                <w:sz w:val="24"/>
                <w:highlight w:val="none"/>
                <w:lang w:eastAsia="zh-CN"/>
              </w:rPr>
              <w:t>，</w:t>
            </w:r>
            <w:r>
              <w:rPr>
                <w:rFonts w:hint="eastAsia" w:ascii="宋体" w:hAnsi="宋体" w:cs="宋体"/>
                <w:color w:val="auto"/>
                <w:sz w:val="24"/>
                <w:highlight w:val="none"/>
              </w:rPr>
              <w:t>且具备测绘乙级及以上测绘资质。项目负责人需为注册测绘师</w:t>
            </w:r>
            <w:r>
              <w:rPr>
                <w:rFonts w:hint="eastAsia" w:ascii="宋体" w:hAnsi="宋体" w:cs="宋体"/>
                <w:color w:val="auto"/>
                <w:sz w:val="24"/>
                <w:highlight w:val="none"/>
                <w:lang w:val="en-US" w:eastAsia="zh-CN"/>
              </w:rPr>
              <w:t>并注册于供应商单位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提供注册证、供应商与其签订的劳动合同及供应商为其缴纳的2025年以来任意一个月社保缴纳证明</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.2财务要求：供应商应具有良好的银行资信和商业信誉，没有处于无法清偿到期债务状态，且企业或企业资产未被重组、接管和冻结状态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提供</w:t>
            </w:r>
            <w:r>
              <w:rPr>
                <w:rFonts w:hint="eastAsia" w:ascii="宋体" w:hAnsi="宋体" w:cs="宋体"/>
                <w:color w:val="auto"/>
                <w:sz w:val="24"/>
                <w:highlight w:val="none"/>
                <w:lang w:val="en-US" w:eastAsia="zh-CN"/>
              </w:rPr>
              <w:t>2023年度</w:t>
            </w:r>
            <w:r>
              <w:rPr>
                <w:rFonts w:hint="eastAsia" w:ascii="宋体" w:hAnsi="宋体" w:eastAsia="宋体" w:cs="宋体"/>
                <w:color w:val="auto"/>
                <w:sz w:val="24"/>
                <w:highlight w:val="none"/>
                <w:lang w:val="en-US" w:eastAsia="zh-CN"/>
              </w:rPr>
              <w:t>经会计师事务所或第三方审计机构审计后的财务报告</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单位出具承诺证明</w:t>
            </w:r>
            <w:r>
              <w:rPr>
                <w:rFonts w:hint="eastAsia" w:ascii="宋体" w:hAnsi="宋体" w:cs="宋体"/>
                <w:color w:val="auto"/>
                <w:sz w:val="24"/>
                <w:highlight w:val="none"/>
                <w:lang w:eastAsia="zh-CN"/>
              </w:rPr>
              <w:t>并加盖公章</w:t>
            </w:r>
            <w:r>
              <w:rPr>
                <w:rFonts w:hint="eastAsia" w:ascii="宋体" w:hAnsi="宋体" w:eastAsia="宋体" w:cs="宋体"/>
                <w:color w:val="auto"/>
                <w:sz w:val="24"/>
                <w:highlight w:val="none"/>
                <w:lang w:val="en-US" w:eastAsia="zh-CN"/>
              </w:rPr>
              <w:t>，成立不足一年的企业提供财务报表或基本账户开具的银行资信证明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.3业绩要求：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年1月1日以来（以合同签订时间为准）具有1项</w:t>
            </w:r>
            <w:r>
              <w:rPr>
                <w:rFonts w:hint="eastAsia" w:ascii="宋体" w:hAnsi="宋体" w:cs="宋体"/>
                <w:color w:val="auto"/>
                <w:sz w:val="24"/>
                <w:highlight w:val="none"/>
                <w:lang w:val="en-US" w:eastAsia="zh-CN"/>
              </w:rPr>
              <w:t>规划核实或土地核验测绘</w:t>
            </w:r>
            <w:r>
              <w:rPr>
                <w:rFonts w:hint="eastAsia" w:ascii="宋体" w:hAnsi="宋体" w:cs="宋体"/>
                <w:color w:val="auto"/>
                <w:sz w:val="24"/>
                <w:highlight w:val="none"/>
              </w:rPr>
              <w:t>业绩，提供业绩合同书证明材料。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信誉要求：</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.1供应商</w:t>
            </w:r>
            <w:r>
              <w:rPr>
                <w:rFonts w:hint="eastAsia" w:ascii="宋体" w:hAnsi="宋体" w:eastAsia="宋体" w:cs="宋体"/>
                <w:i w:val="0"/>
                <w:caps w:val="0"/>
                <w:color w:val="auto"/>
                <w:spacing w:val="0"/>
                <w:sz w:val="24"/>
                <w:szCs w:val="24"/>
                <w:highlight w:val="none"/>
                <w:shd w:val="clear" w:fill="FFFFFF"/>
              </w:rPr>
              <w:t>没有处于尚在执行期的</w:t>
            </w:r>
            <w:r>
              <w:rPr>
                <w:rFonts w:hint="eastAsia" w:ascii="宋体" w:hAnsi="宋体" w:cs="宋体"/>
                <w:color w:val="auto"/>
                <w:sz w:val="24"/>
                <w:highlight w:val="none"/>
              </w:rPr>
              <w:t>被责令停产停业、被暂停或</w:t>
            </w:r>
            <w:r>
              <w:rPr>
                <w:rFonts w:hint="eastAsia" w:ascii="宋体" w:hAnsi="宋体" w:cs="宋体"/>
                <w:color w:val="auto"/>
                <w:sz w:val="24"/>
                <w:highlight w:val="none"/>
                <w:lang w:eastAsia="zh-CN"/>
              </w:rPr>
              <w:t>响应</w:t>
            </w:r>
            <w:r>
              <w:rPr>
                <w:rFonts w:hint="eastAsia" w:ascii="宋体" w:hAnsi="宋体" w:cs="宋体"/>
                <w:color w:val="auto"/>
                <w:sz w:val="24"/>
                <w:highlight w:val="none"/>
              </w:rPr>
              <w:t>资格被取消状态（单位出具承诺证明</w:t>
            </w:r>
            <w:r>
              <w:rPr>
                <w:rFonts w:hint="eastAsia" w:ascii="宋体" w:hAnsi="宋体" w:cs="宋体"/>
                <w:color w:val="auto"/>
                <w:sz w:val="24"/>
                <w:highlight w:val="none"/>
                <w:lang w:eastAsia="zh-CN"/>
              </w:rPr>
              <w:t>并加盖公章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pPr>
              <w:spacing w:line="360" w:lineRule="auto"/>
              <w:ind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2供应商应提供通过“信用中国”网站（www.creditchina.gov.cn）或“中国执行信息公开网”网站（http://zxgk.court.gov.cn/shixin/）渠道查询相关主体（含单位、企业法定代表人）失信行为。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单位失信查询，查询路径：登录信用中国网-点击信用服务-点击失信被执行人跳转至中国执行信息公开网或直接打开中国执行信息公开网点击失信被执行人-在被执行人姓名/名称中输入投标人名称-身份证号码/组织机构代码中输入组织机构代码-输入验证码后查询；</w:t>
            </w:r>
          </w:p>
          <w:p>
            <w:pPr>
              <w:spacing w:line="360" w:lineRule="auto"/>
              <w:ind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法定代表人失信查询，查询路径：登录信用中国网-点击信用服务-点击失信被执行人跳转至中国执行信息公开网或直接打开中国执行信息公开网点击失信被执行人-在被执行人姓名/名称中输入法定代表人姓名-身份证号码/组织机构代码中输入法定代表人身份证号码-输入验证码后查询；</w:t>
            </w:r>
          </w:p>
          <w:p>
            <w:pPr>
              <w:spacing w:line="360" w:lineRule="auto"/>
              <w:ind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以上查询结果提供相关网页截图，截图须显示查询时间，查询时间自询比公告发布</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日期之后，若弄虚作假一经核实取消投标（中标）资格，经查询若上述查询对象任意一个存在失信记录的，其投标按无效标处理；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其他要求：</w:t>
            </w:r>
          </w:p>
          <w:p>
            <w:p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单位负责人为同一人或者存在控股、管理关系的不同单位，不得参加同一标段或者未划分标段的同一采购项目报名</w:t>
            </w:r>
            <w:r>
              <w:rPr>
                <w:rFonts w:hint="eastAsia" w:ascii="宋体" w:hAnsi="宋体" w:cs="宋体"/>
                <w:color w:val="auto"/>
                <w:sz w:val="24"/>
                <w:highlight w:val="none"/>
                <w:lang w:eastAsia="zh-CN"/>
              </w:rPr>
              <w:t>（提供加盖供应商公章的“全国企业信用信息公示系统”中公示的公司信息网页查询证明，</w:t>
            </w:r>
            <w:r>
              <w:rPr>
                <w:rFonts w:hint="eastAsia" w:ascii="宋体" w:hAnsi="宋体" w:eastAsia="宋体" w:cs="宋体"/>
                <w:i w:val="0"/>
                <w:caps w:val="0"/>
                <w:color w:val="auto"/>
                <w:spacing w:val="0"/>
                <w:sz w:val="24"/>
                <w:szCs w:val="24"/>
                <w:highlight w:val="none"/>
                <w:shd w:val="clear" w:fill="FFFFFF"/>
              </w:rPr>
              <w:t>，须显示股东或主要负责人信息</w:t>
            </w:r>
            <w:r>
              <w:rPr>
                <w:rFonts w:hint="eastAsia" w:ascii="宋体" w:hAnsi="宋体" w:cs="宋体"/>
                <w:i w:val="0"/>
                <w:caps w:val="0"/>
                <w:color w:val="auto"/>
                <w:spacing w:val="0"/>
                <w:sz w:val="24"/>
                <w:szCs w:val="24"/>
                <w:highlight w:val="none"/>
                <w:shd w:val="clear" w:fill="FFFFFF"/>
                <w:lang w:eastAsia="zh-CN"/>
              </w:rPr>
              <w:t>，</w:t>
            </w:r>
            <w:r>
              <w:rPr>
                <w:rFonts w:hint="eastAsia" w:ascii="宋体" w:hAnsi="宋体" w:cs="宋体"/>
                <w:color w:val="auto"/>
                <w:sz w:val="24"/>
                <w:highlight w:val="none"/>
                <w:lang w:val="en-US" w:eastAsia="zh-CN"/>
              </w:rPr>
              <w:t>查询结果提供相关网页截图，截图须显示查询时间，查询时间自询比公告发布日期之后</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1.3</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响应和偏差</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1.3.1本采购项目不允许负偏差</w:t>
            </w:r>
          </w:p>
          <w:p>
            <w:pPr>
              <w:spacing w:line="360" w:lineRule="auto"/>
              <w:ind w:firstLine="240" w:firstLineChars="100"/>
              <w:rPr>
                <w:rFonts w:ascii="宋体" w:hAnsi="宋体" w:cs="宋体"/>
                <w:bCs/>
                <w:color w:val="auto"/>
                <w:sz w:val="24"/>
                <w:highlight w:val="none"/>
              </w:rPr>
            </w:pPr>
            <w:r>
              <w:rPr>
                <w:rFonts w:hint="eastAsia" w:ascii="宋体" w:hAnsi="宋体" w:cs="宋体"/>
                <w:color w:val="auto"/>
                <w:sz w:val="24"/>
                <w:highlight w:val="none"/>
              </w:rPr>
              <w:t>1.3.2供应商应针对采购需求作出满足性或更有利于采购人的响应，否则，供应商的响应将被否决。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1.4</w:t>
            </w:r>
          </w:p>
        </w:tc>
        <w:tc>
          <w:tcPr>
            <w:tcW w:w="15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澄清</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1.4.1供应商提出疑问的时间：递交响应文件截止之日2日前供应商提出疑问的形式：加盖公章传真或电邮至采购人。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vMerge w:val="continue"/>
            <w:tcBorders>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1536" w:type="dxa"/>
            <w:vMerge w:val="continue"/>
            <w:tcBorders>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1.4.2采购人主动修改或澄清的时间：递交响应文件截止之日2日前。采购人主动修改或澄清的形式：书面文件或传真。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1536"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1.4.3供应商确认收到修改或答疑的时间：收到书面或传真24小时内。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1.5</w:t>
            </w:r>
          </w:p>
        </w:tc>
        <w:tc>
          <w:tcPr>
            <w:tcW w:w="1536"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报价</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1.5.1报价方式：供应商应按第六章“响应文件格式”要求在报价函中进行报价。</w:t>
            </w:r>
            <w:r>
              <w:rPr>
                <w:rFonts w:hint="eastAsia" w:ascii="宋体" w:hAnsi="宋体" w:cs="宋体"/>
                <w:color w:val="auto"/>
                <w:kern w:val="0"/>
                <w:sz w:val="24"/>
                <w:highlight w:val="none"/>
              </w:rPr>
              <w:t>采购人不接受有选择性报价。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uto"/>
              <w:ind w:left="105" w:leftChars="50" w:right="105" w:rightChars="50"/>
              <w:jc w:val="center"/>
              <w:textAlignment w:val="center"/>
              <w:rPr>
                <w:rFonts w:ascii="宋体" w:hAnsi="宋体" w:cs="宋体"/>
                <w:color w:val="auto"/>
                <w:sz w:val="24"/>
                <w:highlight w:val="none"/>
              </w:rPr>
            </w:pPr>
            <w:r>
              <w:rPr>
                <w:rFonts w:hint="eastAsia" w:ascii="宋体" w:hAnsi="宋体" w:cs="宋体"/>
                <w:b/>
                <w:bCs/>
                <w:color w:val="auto"/>
                <w:sz w:val="24"/>
                <w:highlight w:val="none"/>
              </w:rPr>
              <w:t>询比最高限价</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uto"/>
              <w:ind w:left="105" w:leftChars="50" w:right="105" w:rightChars="50" w:firstLine="240" w:firstLineChars="100"/>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1.5.2本项目</w:t>
            </w:r>
            <w:r>
              <w:rPr>
                <w:rFonts w:hint="eastAsia" w:ascii="宋体" w:hAnsi="宋体" w:cs="宋体"/>
                <w:color w:val="auto"/>
                <w:kern w:val="0"/>
                <w:sz w:val="24"/>
                <w:highlight w:val="none"/>
                <w:lang w:val="en-US" w:eastAsia="zh-CN"/>
              </w:rPr>
              <w:t>最高限价9万元</w:t>
            </w:r>
            <w:r>
              <w:rPr>
                <w:rFonts w:ascii="宋体" w:hAnsi="宋体" w:cs="宋体"/>
                <w:color w:val="auto"/>
                <w:kern w:val="0"/>
                <w:sz w:val="24"/>
                <w:highlight w:val="none"/>
              </w:rPr>
              <w:t>；</w:t>
            </w:r>
          </w:p>
          <w:p>
            <w:pPr>
              <w:widowControl/>
              <w:spacing w:line="360" w:lineRule="auto"/>
              <w:ind w:left="105" w:leftChars="50" w:right="105" w:rightChars="50"/>
              <w:textAlignment w:val="center"/>
              <w:rPr>
                <w:rFonts w:ascii="宋体" w:hAnsi="宋体" w:cs="宋体"/>
                <w:color w:val="auto"/>
                <w:kern w:val="0"/>
                <w:sz w:val="24"/>
                <w:highlight w:val="none"/>
              </w:rPr>
            </w:pPr>
            <w:r>
              <w:rPr>
                <w:rFonts w:hint="eastAsia" w:ascii="宋体" w:hAnsi="宋体" w:cs="宋体"/>
                <w:color w:val="auto"/>
                <w:kern w:val="0"/>
                <w:sz w:val="24"/>
                <w:highlight w:val="none"/>
              </w:rPr>
              <w:t>注：供应商的响应报价超过最高限价的，其相应文件将被否决。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1.6</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有效期</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自响应文件递交截止之日起</w:t>
            </w:r>
            <w:r>
              <w:rPr>
                <w:rFonts w:hint="eastAsia" w:ascii="宋体" w:hAnsi="宋体" w:cs="宋体"/>
                <w:bCs/>
                <w:color w:val="auto"/>
                <w:sz w:val="24"/>
                <w:highlight w:val="none"/>
                <w:lang w:val="en-US" w:eastAsia="zh-CN"/>
              </w:rPr>
              <w:t>45</w:t>
            </w:r>
            <w:r>
              <w:rPr>
                <w:rFonts w:hint="eastAsia" w:ascii="宋体" w:hAnsi="宋体" w:cs="宋体"/>
                <w:bCs/>
                <w:color w:val="auto"/>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1.7</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保证金</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74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1.8</w:t>
            </w:r>
          </w:p>
        </w:tc>
        <w:tc>
          <w:tcPr>
            <w:tcW w:w="15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响应文件的编制</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35"/>
              <w:spacing w:after="0"/>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1.8.3（1）响应文件应用不褪色的材料书写或打印，并按第六章“响应文件格式”的要求进行签字或盖章。</w:t>
            </w:r>
            <w:r>
              <w:rPr>
                <w:rFonts w:hint="eastAsia" w:ascii="宋体" w:hAnsi="宋体" w:cs="宋体"/>
                <w:bCs/>
                <w:color w:val="auto"/>
                <w:sz w:val="24"/>
                <w:szCs w:val="24"/>
                <w:highlight w:val="none"/>
              </w:rPr>
              <w:t>签字应为手写签字，不得为签字章。盖章应加盖单位公章。</w:t>
            </w:r>
          </w:p>
          <w:p>
            <w:pPr>
              <w:pStyle w:val="35"/>
              <w:spacing w:after="0"/>
              <w:ind w:firstLine="240"/>
              <w:rPr>
                <w:rFonts w:ascii="宋体" w:hAnsi="宋体" w:cs="宋体"/>
                <w:bCs/>
                <w:color w:val="auto"/>
                <w:sz w:val="24"/>
                <w:szCs w:val="24"/>
                <w:highlight w:val="none"/>
              </w:rPr>
            </w:pPr>
            <w:r>
              <w:rPr>
                <w:rFonts w:hint="eastAsia" w:ascii="宋体" w:hAnsi="宋体" w:cs="宋体"/>
                <w:color w:val="auto"/>
                <w:sz w:val="24"/>
                <w:szCs w:val="24"/>
                <w:highlight w:val="none"/>
              </w:rPr>
              <w:t xml:space="preserve"> （2）</w:t>
            </w:r>
            <w:r>
              <w:rPr>
                <w:rFonts w:hint="eastAsia" w:ascii="宋体" w:hAnsi="宋体" w:cs="宋体"/>
                <w:b/>
                <w:bCs/>
                <w:color w:val="auto"/>
                <w:sz w:val="24"/>
                <w:szCs w:val="24"/>
                <w:highlight w:val="none"/>
              </w:rPr>
              <w:t>响应文件正本一份，副本二份。</w:t>
            </w:r>
            <w:r>
              <w:rPr>
                <w:rFonts w:hint="eastAsia" w:ascii="宋体" w:hAnsi="宋体" w:cs="宋体"/>
                <w:color w:val="auto"/>
                <w:sz w:val="24"/>
                <w:szCs w:val="24"/>
                <w:highlight w:val="none"/>
              </w:rPr>
              <w:t>正本和副本的封面右上角上应清楚地标记“正本”或“副本”字样。当副本和正本不一致时，以纸质正本文件为准。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1.9</w:t>
            </w:r>
          </w:p>
        </w:tc>
        <w:tc>
          <w:tcPr>
            <w:tcW w:w="15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响应文件的装订、密封、标记</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1.9.1响应文件的装订：响应文件正副本</w:t>
            </w:r>
            <w:r>
              <w:rPr>
                <w:rFonts w:hint="eastAsia" w:ascii="宋体" w:hAnsi="宋体" w:cs="宋体"/>
                <w:color w:val="auto"/>
                <w:sz w:val="24"/>
                <w:highlight w:val="none"/>
                <w:lang w:val="en-US" w:eastAsia="zh-CN"/>
              </w:rPr>
              <w:t>必须</w:t>
            </w:r>
            <w:r>
              <w:rPr>
                <w:rFonts w:hint="eastAsia" w:ascii="宋体" w:hAnsi="宋体" w:cs="宋体"/>
                <w:color w:val="auto"/>
                <w:sz w:val="24"/>
                <w:highlight w:val="none"/>
              </w:rPr>
              <w:t>胶装成册，装订应牢固、不易拆散和换页。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8" w:type="dxa"/>
            <w:vMerge w:val="continue"/>
            <w:tcBorders>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1536" w:type="dxa"/>
            <w:vMerge w:val="continue"/>
            <w:tcBorders>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1.9.2响应文件的密封要求：响应文件的正本、副本应密封在一起。封口处应加盖公章，密封袋表面应注明项目名称、采购编号</w:t>
            </w:r>
            <w:r>
              <w:rPr>
                <w:rFonts w:hint="eastAsia" w:ascii="宋体" w:hAnsi="宋体" w:cs="宋体"/>
                <w:color w:val="auto"/>
                <w:sz w:val="24"/>
                <w:highlight w:val="none"/>
                <w:lang w:eastAsia="zh-CN"/>
              </w:rPr>
              <w:t>ZSSFGZ-2025-CF001</w:t>
            </w:r>
            <w:r>
              <w:rPr>
                <w:rFonts w:hint="eastAsia" w:ascii="宋体" w:hAnsi="宋体" w:cs="宋体"/>
                <w:color w:val="auto"/>
                <w:sz w:val="24"/>
                <w:highlight w:val="none"/>
              </w:rPr>
              <w:t>、采购人名称、供应商名称、供应商地址。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8"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1536"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1.9.3不满足以上要求的响应文件，响应文件将被否决。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响应文件递交</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响应文件递交截止时间：响应文件必须以密封形式于202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下午15</w:t>
            </w:r>
            <w:r>
              <w:rPr>
                <w:rFonts w:hint="eastAsia" w:ascii="宋体" w:hAnsi="宋体" w:cs="宋体"/>
                <w:color w:val="auto"/>
                <w:sz w:val="24"/>
                <w:highlight w:val="none"/>
              </w:rPr>
              <w:t>：00时前邮寄或到现场递交，逾期不受理。</w:t>
            </w:r>
          </w:p>
          <w:p>
            <w:pPr>
              <w:pStyle w:val="35"/>
              <w:ind w:left="0" w:leftChars="0" w:firstLine="480" w:firstLineChars="200"/>
              <w:rPr>
                <w:rFonts w:ascii="宋体" w:hAnsi="宋体" w:cs="宋体"/>
                <w:color w:val="auto"/>
                <w:sz w:val="24"/>
                <w:szCs w:val="24"/>
                <w:highlight w:val="none"/>
              </w:rPr>
            </w:pPr>
            <w:r>
              <w:rPr>
                <w:rFonts w:hint="eastAsia" w:ascii="宋体" w:hAnsi="宋体" w:cs="宋体"/>
                <w:color w:val="auto"/>
                <w:sz w:val="24"/>
                <w:highlight w:val="none"/>
              </w:rPr>
              <w:t>响应文件递交地点： 郑州市中原区工农路31号院8号楼305室</w:t>
            </w:r>
            <w:r>
              <w:rPr>
                <w:rFonts w:hint="eastAsia" w:ascii="宋体" w:hAnsi="宋体" w:cs="宋体"/>
                <w:color w:val="auto"/>
                <w:sz w:val="24"/>
                <w:szCs w:val="24"/>
                <w:highlight w:val="none"/>
              </w:rPr>
              <w:t>逾期送达的或者未送达指定地点的响应文件，采购人不予受理。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2.1</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1080"/>
                <w:tab w:val="left" w:pos="1260"/>
                <w:tab w:val="left" w:pos="432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询比会议时间、地点</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35"/>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2.1.1询比会议时间：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0分（北京时间）</w:t>
            </w:r>
          </w:p>
          <w:p>
            <w:pPr>
              <w:pStyle w:val="3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color w:val="auto"/>
                <w:sz w:val="24"/>
                <w:highlight w:val="none"/>
              </w:rPr>
              <w:t>询比会议地点：</w:t>
            </w:r>
            <w:r>
              <w:rPr>
                <w:rFonts w:hint="eastAsia" w:ascii="宋体" w:hAnsi="宋体" w:cs="宋体"/>
                <w:color w:val="auto"/>
                <w:sz w:val="24"/>
                <w:szCs w:val="24"/>
                <w:highlight w:val="none"/>
              </w:rPr>
              <w:t>郑州市中原区工农路31号院8号楼405会议室</w:t>
            </w:r>
          </w:p>
          <w:p>
            <w:pPr>
              <w:pStyle w:val="35"/>
              <w:ind w:firstLine="480" w:firstLineChars="200"/>
              <w:rPr>
                <w:rFonts w:ascii="宋体" w:hAnsi="宋体" w:cs="宋体"/>
                <w:color w:val="auto"/>
                <w:sz w:val="24"/>
                <w:highlight w:val="none"/>
              </w:rPr>
            </w:pPr>
            <w:r>
              <w:rPr>
                <w:rFonts w:hint="eastAsia" w:ascii="宋体" w:hAnsi="宋体" w:cs="宋体"/>
                <w:color w:val="auto"/>
                <w:sz w:val="24"/>
                <w:highlight w:val="none"/>
              </w:rPr>
              <w:t>2.1.3供应商是否参加：不参加。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2.2</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1080"/>
                <w:tab w:val="left" w:pos="1260"/>
                <w:tab w:val="left" w:pos="432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会议议程</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 宣布询比会议开始；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 宣布会议纪律；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 响应文件密封情况检查：</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视频记录密封情况。</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2.2.3 按照响应文件送达的逆顺序开启文件，宣读响应文件报价函及报价函附录内容。记录人作好记录。视频记录开启过程。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3</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1080"/>
                <w:tab w:val="left" w:pos="1260"/>
                <w:tab w:val="left" w:pos="4320"/>
              </w:tabs>
              <w:spacing w:line="42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评审</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480" w:firstLineChars="200"/>
              <w:rPr>
                <w:rFonts w:ascii="宋体" w:hAnsi="宋体" w:cs="宋体"/>
                <w:color w:val="auto"/>
                <w:sz w:val="28"/>
                <w:szCs w:val="36"/>
                <w:highlight w:val="none"/>
              </w:rPr>
            </w:pPr>
            <w:r>
              <w:rPr>
                <w:rFonts w:hint="eastAsia" w:ascii="宋体" w:hAnsi="宋体" w:cs="宋体"/>
                <w:color w:val="auto"/>
                <w:sz w:val="24"/>
                <w:highlight w:val="none"/>
              </w:rPr>
              <w:t>采用综合评分法进行评审。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4.1</w:t>
            </w:r>
          </w:p>
        </w:tc>
        <w:tc>
          <w:tcPr>
            <w:tcW w:w="15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tabs>
                <w:tab w:val="left" w:pos="1080"/>
                <w:tab w:val="left" w:pos="1260"/>
                <w:tab w:val="left" w:pos="432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资格审查</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4.1.1评审小组成员为 3人，由采购人及相关部门人员组成。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8"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1536"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4.1.2评审小组首先根据采购文件对响应文件进行资格审查，不符合的不得进入下步评审。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4.2</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履约保证金</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1080"/>
                <w:tab w:val="left" w:pos="1260"/>
                <w:tab w:val="left" w:pos="4320"/>
              </w:tabs>
              <w:spacing w:line="360" w:lineRule="auto"/>
              <w:rPr>
                <w:rFonts w:ascii="宋体" w:hAnsi="宋体" w:cs="宋体"/>
                <w:bCs/>
                <w:color w:val="auto"/>
                <w:sz w:val="24"/>
                <w:highlight w:val="none"/>
              </w:rPr>
            </w:pPr>
            <w:r>
              <w:rPr>
                <w:rFonts w:hint="eastAsia" w:ascii="宋体" w:hAnsi="宋体" w:cs="宋体"/>
                <w:b/>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w:t>
            </w:r>
          </w:p>
        </w:tc>
        <w:tc>
          <w:tcPr>
            <w:tcW w:w="1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付款方式</w:t>
            </w:r>
          </w:p>
        </w:tc>
        <w:tc>
          <w:tcPr>
            <w:tcW w:w="67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uto"/>
              <w:ind w:firstLine="42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5.1、</w:t>
            </w:r>
            <w:r>
              <w:rPr>
                <w:rFonts w:hint="eastAsia" w:ascii="宋体" w:hAnsi="宋体" w:eastAsia="宋体" w:cs="宋体"/>
                <w:color w:val="auto"/>
                <w:sz w:val="24"/>
                <w:highlight w:val="none"/>
              </w:rPr>
              <w:t>乙方向甲方提供符合规范要求的</w:t>
            </w:r>
            <w:r>
              <w:rPr>
                <w:rFonts w:hint="eastAsia" w:ascii="宋体" w:hAnsi="宋体" w:cs="宋体"/>
                <w:color w:val="auto"/>
                <w:sz w:val="24"/>
                <w:highlight w:val="none"/>
                <w:lang w:val="en-US" w:eastAsia="zh-CN"/>
              </w:rPr>
              <w:t>规划核实、土地核验</w:t>
            </w:r>
            <w:r>
              <w:rPr>
                <w:rFonts w:hint="eastAsia" w:ascii="宋体" w:hAnsi="宋体" w:eastAsia="宋体" w:cs="宋体"/>
                <w:color w:val="auto"/>
                <w:sz w:val="24"/>
                <w:highlight w:val="none"/>
              </w:rPr>
              <w:t>测绘成果，开具增值税普通发票后甲方一次付清全部费用</w:t>
            </w:r>
          </w:p>
          <w:p>
            <w:pPr>
              <w:widowControl/>
              <w:spacing w:line="360" w:lineRule="auto"/>
              <w:ind w:firstLine="420"/>
              <w:jc w:val="left"/>
              <w:rPr>
                <w:rFonts w:ascii="宋体" w:hAnsi="宋体" w:cs="宋体"/>
                <w:bCs/>
                <w:color w:val="auto"/>
                <w:sz w:val="24"/>
                <w:highlight w:val="none"/>
              </w:rPr>
            </w:pPr>
            <w:r>
              <w:rPr>
                <w:rFonts w:hint="eastAsia" w:ascii="宋体" w:hAnsi="宋体" w:cs="宋体"/>
                <w:color w:val="auto"/>
                <w:sz w:val="24"/>
                <w:highlight w:val="none"/>
                <w:lang w:val="en-US" w:eastAsia="zh-CN"/>
              </w:rPr>
              <w:t>5.2、</w:t>
            </w:r>
            <w:r>
              <w:rPr>
                <w:rFonts w:hint="eastAsia" w:ascii="宋体" w:hAnsi="宋体" w:cs="宋体"/>
                <w:color w:val="auto"/>
                <w:sz w:val="24"/>
                <w:highlight w:val="none"/>
              </w:rPr>
              <w:t>甲方支付相关款项前，乙方应开具相应的足额有效增值税普通发票，否则</w:t>
            </w:r>
            <w:r>
              <w:rPr>
                <w:rFonts w:hint="eastAsia" w:ascii="宋体" w:hAnsi="宋体" w:cs="宋体"/>
                <w:color w:val="auto"/>
                <w:sz w:val="24"/>
                <w:highlight w:val="none"/>
                <w:lang w:eastAsia="zh-CN"/>
              </w:rPr>
              <w:t>委托人</w:t>
            </w:r>
            <w:r>
              <w:rPr>
                <w:rFonts w:hint="eastAsia" w:ascii="宋体" w:hAnsi="宋体" w:cs="宋体"/>
                <w:color w:val="auto"/>
                <w:sz w:val="24"/>
                <w:highlight w:val="none"/>
              </w:rPr>
              <w:t>有权拒绝付款。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038"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ageBreakBefore w:val="0"/>
              <w:widowControl/>
              <w:shd w:val="clear" w:color="auto" w:fill="FFFFFF"/>
              <w:kinsoku/>
              <w:wordWrap/>
              <w:overflowPunct/>
              <w:topLinePunct w:val="0"/>
              <w:bidi w:val="0"/>
              <w:snapToGrid/>
              <w:spacing w:line="360" w:lineRule="auto"/>
              <w:jc w:val="both"/>
              <w:textAlignment w:val="auto"/>
              <w:rPr>
                <w:rFonts w:ascii="宋体" w:hAnsi="宋体" w:cs="宋体"/>
                <w:b/>
                <w:color w:val="auto"/>
                <w:sz w:val="24"/>
                <w:highlight w:val="none"/>
              </w:rPr>
            </w:pPr>
            <w:r>
              <w:rPr>
                <w:rFonts w:hint="eastAsia" w:ascii="宋体" w:hAnsi="宋体" w:cs="宋体"/>
                <w:color w:val="auto"/>
                <w:sz w:val="24"/>
                <w:highlight w:val="none"/>
                <w:lang w:val="en-US" w:eastAsia="zh-CN"/>
              </w:rPr>
              <w:t>备注：</w:t>
            </w:r>
            <w:r>
              <w:rPr>
                <w:rFonts w:hint="eastAsia" w:ascii="宋体" w:hAnsi="宋体" w:cs="宋体"/>
                <w:b/>
                <w:color w:val="auto"/>
                <w:sz w:val="24"/>
                <w:highlight w:val="none"/>
              </w:rPr>
              <w:t>1、</w:t>
            </w:r>
            <w:r>
              <w:rPr>
                <w:rFonts w:ascii="宋体" w:hAnsi="宋体" w:cs="宋体"/>
                <w:b/>
                <w:color w:val="auto"/>
                <w:sz w:val="24"/>
                <w:highlight w:val="none"/>
              </w:rPr>
              <w:t>当前附表与正文发生冲突，则以前附表为准。</w:t>
            </w:r>
          </w:p>
          <w:p>
            <w:pPr>
              <w:pStyle w:val="5"/>
              <w:pageBreakBefore w:val="0"/>
              <w:kinsoku/>
              <w:wordWrap/>
              <w:overflowPunct/>
              <w:topLinePunct w:val="0"/>
              <w:bidi w:val="0"/>
              <w:snapToGrid/>
              <w:spacing w:before="0" w:after="0" w:line="360" w:lineRule="auto"/>
              <w:ind w:firstLine="723" w:firstLineChars="3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2、未尽事宜，按相关法律法规执行。</w:t>
            </w:r>
          </w:p>
        </w:tc>
      </w:tr>
      <w:bookmarkEnd w:id="12"/>
    </w:tbl>
    <w:p>
      <w:pPr>
        <w:pageBreakBefore w:val="0"/>
        <w:kinsoku/>
        <w:wordWrap/>
        <w:topLinePunct w:val="0"/>
        <w:bidi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13" w:name="_Toc11252"/>
      <w:bookmarkStart w:id="14" w:name="_Toc205"/>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总则</w:t>
      </w:r>
    </w:p>
    <w:p>
      <w:pPr>
        <w:pageBreakBefore w:val="0"/>
        <w:kinsoku/>
        <w:wordWrap/>
        <w:topLinePunct w:val="0"/>
        <w:bidi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1.1采购项目概况</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kern w:val="0"/>
          <w:sz w:val="24"/>
          <w:highlight w:val="none"/>
        </w:rPr>
        <w:t>本采购项目采购人：见供应商须知前附表。</w:t>
      </w:r>
    </w:p>
    <w:p>
      <w:pPr>
        <w:pageBreakBefore w:val="0"/>
        <w:kinsoku/>
        <w:wordWrap/>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kern w:val="0"/>
          <w:sz w:val="24"/>
          <w:highlight w:val="none"/>
        </w:rPr>
        <w:t>1.1.2 采购</w:t>
      </w:r>
      <w:r>
        <w:rPr>
          <w:rFonts w:hint="eastAsia" w:ascii="宋体" w:hAnsi="宋体" w:cs="宋体"/>
          <w:color w:val="auto"/>
          <w:sz w:val="24"/>
          <w:highlight w:val="none"/>
        </w:rPr>
        <w:t>项目名称：</w:t>
      </w:r>
      <w:r>
        <w:rPr>
          <w:rFonts w:hint="eastAsia" w:ascii="宋体" w:hAnsi="宋体" w:cs="宋体"/>
          <w:color w:val="auto"/>
          <w:kern w:val="0"/>
          <w:sz w:val="24"/>
          <w:highlight w:val="none"/>
        </w:rPr>
        <w:t>见供应商须知前附表</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1.1.3采购内容：见供应商须知前附表</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1.1.4 质量要求：见供应商须知前附表</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1.1.5施工期限：见供应商须知前附表</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1.1.6资金来源及落实情况：见供应商须知前附表</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1.1.7标段划分：本项目共划分一个标段</w:t>
      </w:r>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bookmarkStart w:id="15" w:name="_Toc392168205"/>
      <w:bookmarkStart w:id="16" w:name="_Toc997"/>
      <w:r>
        <w:rPr>
          <w:rFonts w:hint="eastAsia" w:ascii="宋体" w:hAnsi="宋体" w:cs="宋体"/>
          <w:b/>
          <w:bCs/>
          <w:color w:val="auto"/>
          <w:sz w:val="24"/>
          <w:szCs w:val="24"/>
          <w:highlight w:val="none"/>
        </w:rPr>
        <w:t>1.2响应人资格要求：</w:t>
      </w:r>
      <w:r>
        <w:rPr>
          <w:rFonts w:hint="eastAsia" w:ascii="宋体" w:hAnsi="宋体" w:cs="宋体"/>
          <w:color w:val="auto"/>
          <w:kern w:val="0"/>
          <w:sz w:val="24"/>
          <w:szCs w:val="24"/>
          <w:highlight w:val="none"/>
        </w:rPr>
        <w:t>见供应商须知前附表</w:t>
      </w:r>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1.3费用承担</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供应商准备和参加采购活动发生的费用自理。</w:t>
      </w:r>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1.4 保密</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参与采购活动的各方应对采购活动中的秘密保密，否则应承担相应的法律责任。</w:t>
      </w:r>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 5 语言文字</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b/>
          <w:bCs/>
          <w:color w:val="auto"/>
          <w:sz w:val="24"/>
          <w:szCs w:val="24"/>
          <w:highlight w:val="none"/>
        </w:rPr>
      </w:pPr>
      <w:r>
        <w:rPr>
          <w:rFonts w:hint="eastAsia" w:ascii="宋体" w:hAnsi="宋体" w:cs="宋体"/>
          <w:color w:val="auto"/>
          <w:kern w:val="0"/>
          <w:sz w:val="24"/>
          <w:szCs w:val="24"/>
          <w:highlight w:val="none"/>
        </w:rPr>
        <w:t>采购文件使用的语言文字为中文。专用术语使用外文的，应附有中文注释</w:t>
      </w:r>
      <w:r>
        <w:rPr>
          <w:rFonts w:hint="eastAsia" w:ascii="宋体" w:hAnsi="宋体" w:cs="宋体"/>
          <w:b/>
          <w:bCs/>
          <w:color w:val="auto"/>
          <w:sz w:val="24"/>
          <w:szCs w:val="24"/>
          <w:highlight w:val="none"/>
        </w:rPr>
        <w:t>。</w:t>
      </w:r>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 6计量单位</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所有计量均采用中华人民共和国法定单位。</w:t>
      </w:r>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 7分包</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本项目不允许分包。</w:t>
      </w:r>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1.8响应和偏差：略，见前附表</w:t>
      </w:r>
    </w:p>
    <w:p>
      <w:pPr>
        <w:pStyle w:val="6"/>
        <w:pageBreakBefore w:val="0"/>
        <w:kinsoku/>
        <w:wordWrap/>
        <w:topLinePunct w:val="0"/>
        <w:bidi w:val="0"/>
        <w:snapToGrid/>
        <w:spacing w:before="0" w:after="0" w:line="360" w:lineRule="auto"/>
        <w:ind w:left="0" w:leftChars="0" w:firstLine="482" w:firstLineChars="200"/>
        <w:jc w:val="left"/>
        <w:textAlignment w:val="auto"/>
        <w:rPr>
          <w:color w:val="auto"/>
          <w:sz w:val="24"/>
          <w:szCs w:val="16"/>
          <w:highlight w:val="none"/>
        </w:rPr>
      </w:pPr>
      <w:bookmarkStart w:id="17" w:name="_Toc1788"/>
      <w:r>
        <w:rPr>
          <w:rFonts w:hint="eastAsia"/>
          <w:color w:val="auto"/>
          <w:sz w:val="24"/>
          <w:szCs w:val="16"/>
          <w:highlight w:val="none"/>
        </w:rPr>
        <w:t>二、文件</w:t>
      </w:r>
      <w:bookmarkEnd w:id="17"/>
    </w:p>
    <w:p>
      <w:pPr>
        <w:pStyle w:val="35"/>
        <w:pageBreakBefore w:val="0"/>
        <w:kinsoku/>
        <w:wordWrap/>
        <w:topLinePunct w:val="0"/>
        <w:bidi w:val="0"/>
        <w:snapToGrid/>
        <w:spacing w:after="0" w:line="360" w:lineRule="auto"/>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2.1澄清</w:t>
      </w:r>
      <w:bookmarkEnd w:id="15"/>
      <w:bookmarkEnd w:id="16"/>
      <w:r>
        <w:rPr>
          <w:rFonts w:hint="eastAsia" w:ascii="宋体" w:hAnsi="宋体" w:cs="宋体"/>
          <w:b/>
          <w:bCs/>
          <w:color w:val="auto"/>
          <w:sz w:val="24"/>
          <w:szCs w:val="24"/>
          <w:highlight w:val="none"/>
        </w:rPr>
        <w:t>：</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2.1.4澄清发生的时间距递交响应文件截止时间不足2日并且澄清内容可能影响响应文件编制的，将相应延长响应截止时间。</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2.1.5除非采购人认为确有必要答复，否则，采购人有权拒绝回复供应商在本文件规定时间后提出的任何澄清要求。</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b/>
          <w:bCs/>
          <w:color w:val="auto"/>
          <w:sz w:val="24"/>
          <w:highlight w:val="none"/>
        </w:rPr>
      </w:pPr>
      <w:r>
        <w:rPr>
          <w:rFonts w:hint="eastAsia" w:ascii="宋体" w:hAnsi="宋体" w:cs="宋体"/>
          <w:color w:val="auto"/>
          <w:kern w:val="0"/>
          <w:sz w:val="24"/>
          <w:highlight w:val="none"/>
        </w:rPr>
        <w:t>2.1.6</w:t>
      </w:r>
      <w:r>
        <w:rPr>
          <w:rFonts w:hint="eastAsia" w:ascii="宋体" w:hAnsi="宋体" w:cs="宋体"/>
          <w:color w:val="auto"/>
          <w:sz w:val="24"/>
          <w:highlight w:val="none"/>
        </w:rPr>
        <w:t>修改或澄清的内容将作为询比文件的组成部分，对所有供应商均具有约束力。</w:t>
      </w:r>
    </w:p>
    <w:p>
      <w:pPr>
        <w:pageBreakBefore w:val="0"/>
        <w:widowControl/>
        <w:kinsoku/>
        <w:wordWrap/>
        <w:topLinePunct w:val="0"/>
        <w:bidi w:val="0"/>
        <w:adjustRightInd w:val="0"/>
        <w:snapToGrid/>
        <w:spacing w:line="360" w:lineRule="auto"/>
        <w:ind w:left="0" w:leftChars="0" w:firstLine="482" w:firstLineChars="200"/>
        <w:jc w:val="left"/>
        <w:textAlignment w:val="auto"/>
        <w:rPr>
          <w:rFonts w:ascii="宋体" w:hAnsi="宋体" w:cs="宋体"/>
          <w:color w:val="auto"/>
          <w:kern w:val="0"/>
          <w:sz w:val="24"/>
          <w:highlight w:val="none"/>
        </w:rPr>
      </w:pPr>
      <w:bookmarkStart w:id="18" w:name="_Toc24593"/>
      <w:bookmarkStart w:id="19" w:name="_Toc392168206"/>
      <w:r>
        <w:rPr>
          <w:rFonts w:hint="eastAsia" w:ascii="宋体" w:hAnsi="宋体" w:cs="宋体"/>
          <w:b/>
          <w:color w:val="auto"/>
          <w:sz w:val="24"/>
          <w:highlight w:val="none"/>
        </w:rPr>
        <w:t>2.2响应报价：</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bookmarkStart w:id="20" w:name="_Toc12314"/>
      <w:r>
        <w:rPr>
          <w:rFonts w:hint="eastAsia" w:ascii="宋体" w:hAnsi="宋体" w:cs="宋体"/>
          <w:color w:val="auto"/>
          <w:kern w:val="0"/>
          <w:sz w:val="24"/>
          <w:highlight w:val="none"/>
        </w:rPr>
        <w:t>2.2.1 采购报价应包括国家规定的增值税金，除前附表另有规定外，增值税税金按一般计税方法计算。</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2.2.2 报价应包括响应人提供人、材、机、管理费、利润及考虑的风险、规费、税金等的全部责任和义务。供应商应充分了解该项目的总体情况以及影响报价的其他要素。</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2.2.3 略，见前附表。</w:t>
      </w:r>
    </w:p>
    <w:p>
      <w:pPr>
        <w:pStyle w:val="35"/>
        <w:pageBreakBefore w:val="0"/>
        <w:kinsoku/>
        <w:wordWrap/>
        <w:topLinePunct w:val="0"/>
        <w:bidi w:val="0"/>
        <w:snapToGrid/>
        <w:spacing w:after="0" w:line="360" w:lineRule="auto"/>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2.2.4略，见前附表。</w:t>
      </w:r>
    </w:p>
    <w:bookmarkEnd w:id="20"/>
    <w:p>
      <w:pPr>
        <w:pageBreakBefore w:val="0"/>
        <w:widowControl/>
        <w:kinsoku/>
        <w:wordWrap/>
        <w:topLinePunct w:val="0"/>
        <w:bidi w:val="0"/>
        <w:adjustRightInd w:val="0"/>
        <w:snapToGrid/>
        <w:spacing w:line="360" w:lineRule="auto"/>
        <w:ind w:left="0" w:leftChars="0" w:firstLine="482" w:firstLineChars="200"/>
        <w:jc w:val="left"/>
        <w:textAlignment w:val="auto"/>
        <w:rPr>
          <w:rFonts w:ascii="宋体" w:hAnsi="宋体" w:cs="宋体"/>
          <w:color w:val="auto"/>
          <w:kern w:val="0"/>
          <w:sz w:val="24"/>
          <w:highlight w:val="none"/>
        </w:rPr>
      </w:pPr>
      <w:r>
        <w:rPr>
          <w:rFonts w:hint="eastAsia" w:ascii="宋体" w:hAnsi="宋体" w:cs="宋体"/>
          <w:b/>
          <w:color w:val="auto"/>
          <w:sz w:val="24"/>
          <w:highlight w:val="none"/>
        </w:rPr>
        <w:t>2.3响应文件的有效期:响应文件递交截止之日起</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rPr>
        <w:t>天。</w:t>
      </w:r>
      <w:bookmarkEnd w:id="18"/>
      <w:bookmarkEnd w:id="19"/>
    </w:p>
    <w:p>
      <w:pPr>
        <w:pageBreakBefore w:val="0"/>
        <w:widowControl/>
        <w:kinsoku/>
        <w:wordWrap/>
        <w:topLinePunct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在特殊情况下，采购人于原</w:t>
      </w:r>
      <w:r>
        <w:rPr>
          <w:rFonts w:hint="eastAsia" w:ascii="宋体" w:hAnsi="宋体" w:cs="宋体"/>
          <w:color w:val="auto"/>
          <w:sz w:val="24"/>
          <w:highlight w:val="none"/>
        </w:rPr>
        <w:t>响应文件有效期</w:t>
      </w:r>
      <w:r>
        <w:rPr>
          <w:rFonts w:hint="eastAsia" w:ascii="宋体" w:hAnsi="宋体" w:cs="宋体"/>
          <w:color w:val="auto"/>
          <w:kern w:val="0"/>
          <w:sz w:val="24"/>
          <w:highlight w:val="none"/>
        </w:rPr>
        <w:t>满之前，可向供应商提出延长</w:t>
      </w:r>
      <w:r>
        <w:rPr>
          <w:rFonts w:hint="eastAsia" w:ascii="宋体" w:hAnsi="宋体" w:cs="宋体"/>
          <w:color w:val="auto"/>
          <w:sz w:val="24"/>
          <w:highlight w:val="none"/>
        </w:rPr>
        <w:t>响应文件有效期</w:t>
      </w:r>
      <w:r>
        <w:rPr>
          <w:rFonts w:hint="eastAsia" w:ascii="宋体" w:hAnsi="宋体" w:cs="宋体"/>
          <w:color w:val="auto"/>
          <w:kern w:val="0"/>
          <w:sz w:val="24"/>
          <w:highlight w:val="none"/>
        </w:rPr>
        <w:t>的要求，这种要求与答复均应以书面形式告知。供应商可以拒绝采购人的这种要求，供应商将退出采购活动并收回询比保证金（若有）。同意延长的供应商则既不能要求也不允许修改其响应文件。</w:t>
      </w:r>
      <w:bookmarkStart w:id="21" w:name="_Toc11140"/>
      <w:bookmarkStart w:id="22" w:name="_Toc392168207"/>
    </w:p>
    <w:p>
      <w:pPr>
        <w:pageBreakBefore w:val="0"/>
        <w:widowControl/>
        <w:kinsoku/>
        <w:wordWrap/>
        <w:topLinePunct w:val="0"/>
        <w:bidi w:val="0"/>
        <w:adjustRightInd w:val="0"/>
        <w:snapToGrid/>
        <w:spacing w:line="360" w:lineRule="auto"/>
        <w:ind w:left="0" w:leftChars="0" w:firstLine="482" w:firstLineChars="200"/>
        <w:jc w:val="left"/>
        <w:textAlignment w:val="auto"/>
        <w:rPr>
          <w:rFonts w:ascii="宋体" w:hAnsi="宋体" w:cs="宋体"/>
          <w:color w:val="auto"/>
          <w:kern w:val="0"/>
          <w:sz w:val="24"/>
          <w:highlight w:val="none"/>
        </w:rPr>
      </w:pPr>
      <w:r>
        <w:rPr>
          <w:rFonts w:hint="eastAsia" w:ascii="宋体" w:hAnsi="宋体" w:cs="宋体"/>
          <w:b/>
          <w:color w:val="auto"/>
          <w:sz w:val="24"/>
          <w:highlight w:val="none"/>
        </w:rPr>
        <w:t>2.4 询比保证金（若有）:</w:t>
      </w:r>
      <w:bookmarkEnd w:id="21"/>
      <w:bookmarkEnd w:id="22"/>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2.4.3下列情况发生时，将不退还</w:t>
      </w:r>
      <w:r>
        <w:rPr>
          <w:rFonts w:hint="eastAsia" w:ascii="宋体" w:hAnsi="宋体" w:cs="宋体"/>
          <w:color w:val="auto"/>
          <w:sz w:val="24"/>
          <w:highlight w:val="none"/>
          <w:lang w:eastAsia="zh-CN"/>
        </w:rPr>
        <w:t>询比</w:t>
      </w:r>
      <w:r>
        <w:rPr>
          <w:rFonts w:hint="eastAsia" w:ascii="宋体" w:hAnsi="宋体" w:cs="宋体"/>
          <w:color w:val="auto"/>
          <w:sz w:val="24"/>
          <w:highlight w:val="none"/>
        </w:rPr>
        <w:t>保证金：</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（1）供应商在响应文件有效期内撤回其文件的；</w:t>
      </w:r>
    </w:p>
    <w:p>
      <w:pPr>
        <w:pageBreakBefore w:val="0"/>
        <w:kinsoku/>
        <w:wordWrap/>
        <w:topLinePunct w:val="0"/>
        <w:autoSpaceDE w:val="0"/>
        <w:autoSpaceDN w:val="0"/>
        <w:bidi w:val="0"/>
        <w:adjustRightInd w:val="0"/>
        <w:snapToGrid/>
        <w:spacing w:line="360" w:lineRule="auto"/>
        <w:ind w:left="0" w:lef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供应商提供虚假证明材料；</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（3）成交供应商未按规定的时间、地点与采购人签订合同的；</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（4）供应商有违反相关法律法规的行为，经查属实的。并追究其相关的法律责任。</w:t>
      </w:r>
      <w:bookmarkStart w:id="23" w:name="_Toc5045"/>
      <w:bookmarkStart w:id="24" w:name="_Toc392168208"/>
    </w:p>
    <w:p>
      <w:pPr>
        <w:pageBreakBefore w:val="0"/>
        <w:widowControl/>
        <w:kinsoku/>
        <w:wordWrap/>
        <w:topLinePunct w:val="0"/>
        <w:bidi w:val="0"/>
        <w:adjustRightInd w:val="0"/>
        <w:snapToGrid/>
        <w:spacing w:line="360" w:lineRule="auto"/>
        <w:ind w:left="0" w:leftChars="0"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2.5  响应文件的编制：</w:t>
      </w:r>
    </w:p>
    <w:p>
      <w:pPr>
        <w:pageBreakBefore w:val="0"/>
        <w:widowControl/>
        <w:kinsoku/>
        <w:wordWrap/>
        <w:topLinePunct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 见前附表</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2.5.2 响应文件应当对采购文件有关</w:t>
      </w:r>
      <w:r>
        <w:rPr>
          <w:rFonts w:hint="eastAsia" w:ascii="宋体" w:hAnsi="宋体" w:cs="宋体"/>
          <w:color w:val="auto"/>
          <w:kern w:val="0"/>
          <w:sz w:val="24"/>
          <w:highlight w:val="none"/>
          <w:lang w:eastAsia="zh-CN"/>
        </w:rPr>
        <w:t>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质量、</w:t>
      </w:r>
      <w:r>
        <w:rPr>
          <w:rFonts w:hint="eastAsia" w:ascii="宋体" w:hAnsi="宋体" w:cs="宋体"/>
          <w:color w:val="auto"/>
          <w:kern w:val="0"/>
          <w:sz w:val="24"/>
          <w:highlight w:val="none"/>
        </w:rPr>
        <w:t>采购有效期、采购范围等实质性内容作出响应。在满足实质性要求的基础上，可以提出比采购文件更有利于采购人的承诺。</w:t>
      </w:r>
    </w:p>
    <w:p>
      <w:pPr>
        <w:pageBreakBefore w:val="0"/>
        <w:widowControl/>
        <w:kinsoku/>
        <w:wordWrap/>
        <w:topLinePunct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sz w:val="24"/>
          <w:highlight w:val="none"/>
        </w:rPr>
        <w:t>2.5.3响应函及对采购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权书应符合第六章“响应文件格式”的要求。响应文件应尽量避免涂改、行间插字或删除。如果出现上述情况，改动之处由供应商的法定代表（单位负责人）或其授权的代理人签字或盖单位章。</w:t>
      </w:r>
    </w:p>
    <w:bookmarkEnd w:id="23"/>
    <w:bookmarkEnd w:id="24"/>
    <w:p>
      <w:pPr>
        <w:pStyle w:val="6"/>
        <w:pageBreakBefore w:val="0"/>
        <w:kinsoku/>
        <w:wordWrap/>
        <w:topLinePunct w:val="0"/>
        <w:bidi w:val="0"/>
        <w:snapToGrid/>
        <w:spacing w:before="0" w:after="0" w:line="360" w:lineRule="auto"/>
        <w:ind w:left="0" w:leftChars="0" w:firstLine="482" w:firstLineChars="200"/>
        <w:jc w:val="left"/>
        <w:textAlignment w:val="auto"/>
        <w:rPr>
          <w:color w:val="auto"/>
          <w:sz w:val="24"/>
          <w:szCs w:val="16"/>
          <w:highlight w:val="none"/>
        </w:rPr>
      </w:pPr>
      <w:bookmarkStart w:id="25" w:name="_Toc7516"/>
      <w:bookmarkStart w:id="26" w:name="_Toc13274"/>
      <w:r>
        <w:rPr>
          <w:rFonts w:hint="eastAsia"/>
          <w:color w:val="auto"/>
          <w:sz w:val="24"/>
          <w:szCs w:val="16"/>
          <w:highlight w:val="none"/>
        </w:rPr>
        <w:t>三、</w:t>
      </w:r>
      <w:bookmarkEnd w:id="25"/>
      <w:r>
        <w:rPr>
          <w:rFonts w:hint="eastAsia"/>
          <w:color w:val="auto"/>
          <w:sz w:val="24"/>
          <w:szCs w:val="16"/>
          <w:highlight w:val="none"/>
          <w:lang w:eastAsia="zh-CN"/>
        </w:rPr>
        <w:t>响应文件</w:t>
      </w:r>
      <w:bookmarkEnd w:id="26"/>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3.1响应文件的装订、密封和标记：见前附表 </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3.2响应文件的补充、修改、退回</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3.2.1供应商在响应文件递交截止时间前，可以对所递交的响应文件进行补充、修改，补充、修改的内容应当按询比文件要求签字、盖章，并作为响应文件的组成部分。</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3.2.2供应商对响应文件的补充、修改应按本须知有关规定密封、标记和提交，并在响应文件密封袋上清楚标明“补充、修改”或“撤回”字样。</w:t>
      </w:r>
    </w:p>
    <w:p>
      <w:pPr>
        <w:pStyle w:val="35"/>
        <w:pageBreakBefore w:val="0"/>
        <w:kinsoku/>
        <w:wordWrap/>
        <w:topLinePunct w:val="0"/>
        <w:bidi w:val="0"/>
        <w:snapToGrid/>
        <w:spacing w:after="0" w:line="360" w:lineRule="auto"/>
        <w:ind w:left="0" w:lef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3.2.3在递交响应文件截止时间之后，供应商不得补充、修改响应文件。</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3.3响应文件退还</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3.3.1无论供应商是否成交，其响应文件均不退还。</w:t>
      </w:r>
    </w:p>
    <w:p>
      <w:pPr>
        <w:pStyle w:val="6"/>
        <w:pageBreakBefore w:val="0"/>
        <w:kinsoku/>
        <w:wordWrap/>
        <w:topLinePunct w:val="0"/>
        <w:bidi w:val="0"/>
        <w:snapToGrid/>
        <w:spacing w:before="0" w:after="0" w:line="360" w:lineRule="auto"/>
        <w:ind w:left="0" w:leftChars="0" w:firstLine="482" w:firstLineChars="200"/>
        <w:jc w:val="left"/>
        <w:textAlignment w:val="auto"/>
        <w:rPr>
          <w:color w:val="auto"/>
          <w:sz w:val="24"/>
          <w:szCs w:val="16"/>
          <w:highlight w:val="none"/>
        </w:rPr>
      </w:pPr>
      <w:bookmarkStart w:id="27" w:name="_Toc6003"/>
      <w:r>
        <w:rPr>
          <w:rFonts w:hint="eastAsia"/>
          <w:color w:val="auto"/>
          <w:sz w:val="24"/>
          <w:szCs w:val="16"/>
          <w:highlight w:val="none"/>
        </w:rPr>
        <w:t>四、响应文件的递交</w:t>
      </w:r>
      <w:bookmarkEnd w:id="27"/>
    </w:p>
    <w:p>
      <w:pPr>
        <w:pageBreakBefore w:val="0"/>
        <w:widowControl/>
        <w:kinsoku/>
        <w:wordWrap/>
        <w:topLinePunct w:val="0"/>
        <w:bidi w:val="0"/>
        <w:snapToGrid/>
        <w:spacing w:line="360" w:lineRule="auto"/>
        <w:ind w:left="0" w:leftChars="0" w:firstLine="480" w:firstLineChars="200"/>
        <w:jc w:val="left"/>
        <w:textAlignment w:val="auto"/>
        <w:rPr>
          <w:color w:val="auto"/>
          <w:kern w:val="0"/>
          <w:sz w:val="24"/>
          <w:highlight w:val="none"/>
        </w:rPr>
      </w:pPr>
      <w:r>
        <w:rPr>
          <w:rFonts w:hint="eastAsia" w:ascii="宋体" w:hAnsi="宋体" w:cs="宋体"/>
          <w:color w:val="auto"/>
          <w:kern w:val="0"/>
          <w:sz w:val="24"/>
          <w:highlight w:val="none"/>
        </w:rPr>
        <w:t>4.1响应文件递交，见前附表</w:t>
      </w:r>
      <w:bookmarkStart w:id="28" w:name="_Toc17100"/>
    </w:p>
    <w:p>
      <w:pPr>
        <w:pStyle w:val="6"/>
        <w:pageBreakBefore w:val="0"/>
        <w:kinsoku/>
        <w:wordWrap/>
        <w:topLinePunct w:val="0"/>
        <w:bidi w:val="0"/>
        <w:snapToGrid/>
        <w:spacing w:before="0" w:after="0" w:line="360" w:lineRule="auto"/>
        <w:ind w:left="0" w:leftChars="0" w:firstLine="482" w:firstLineChars="200"/>
        <w:jc w:val="left"/>
        <w:textAlignment w:val="auto"/>
        <w:rPr>
          <w:color w:val="auto"/>
          <w:sz w:val="24"/>
          <w:szCs w:val="16"/>
          <w:highlight w:val="none"/>
        </w:rPr>
      </w:pPr>
      <w:bookmarkStart w:id="29" w:name="_Toc24250"/>
      <w:r>
        <w:rPr>
          <w:rFonts w:hint="eastAsia"/>
          <w:color w:val="auto"/>
          <w:sz w:val="24"/>
          <w:szCs w:val="16"/>
          <w:highlight w:val="none"/>
        </w:rPr>
        <w:t>五、</w:t>
      </w:r>
      <w:bookmarkEnd w:id="28"/>
      <w:r>
        <w:rPr>
          <w:rFonts w:hint="eastAsia"/>
          <w:color w:val="auto"/>
          <w:sz w:val="24"/>
          <w:szCs w:val="16"/>
          <w:highlight w:val="none"/>
        </w:rPr>
        <w:t>询比评审</w:t>
      </w:r>
      <w:bookmarkEnd w:id="29"/>
    </w:p>
    <w:p>
      <w:pPr>
        <w:pageBreakBefore w:val="0"/>
        <w:kinsoku/>
        <w:wordWrap/>
        <w:topLinePunct w:val="0"/>
        <w:bidi w:val="0"/>
        <w:snapToGrid/>
        <w:spacing w:line="360" w:lineRule="auto"/>
        <w:ind w:left="0" w:leftChars="0" w:firstLine="482" w:firstLineChars="200"/>
        <w:textAlignment w:val="auto"/>
        <w:rPr>
          <w:rFonts w:ascii="宋体" w:hAnsi="宋体" w:cs="宋体"/>
          <w:b/>
          <w:color w:val="auto"/>
          <w:sz w:val="24"/>
          <w:highlight w:val="none"/>
        </w:rPr>
      </w:pPr>
      <w:bookmarkStart w:id="30" w:name="_Toc375860376"/>
      <w:bookmarkStart w:id="31" w:name="_Toc25000"/>
      <w:bookmarkStart w:id="32" w:name="_Toc392168213"/>
      <w:bookmarkStart w:id="33" w:name="_Toc375860163"/>
      <w:r>
        <w:rPr>
          <w:rFonts w:hint="eastAsia" w:ascii="宋体" w:hAnsi="宋体" w:cs="宋体"/>
          <w:b/>
          <w:color w:val="auto"/>
          <w:sz w:val="24"/>
          <w:highlight w:val="none"/>
        </w:rPr>
        <w:t>5.1</w:t>
      </w:r>
      <w:bookmarkStart w:id="34" w:name="_Toc277149391"/>
      <w:bookmarkStart w:id="35" w:name="_Toc270604829"/>
      <w:bookmarkStart w:id="36" w:name="_Toc30166"/>
      <w:bookmarkStart w:id="37" w:name="_Toc428276596"/>
      <w:bookmarkStart w:id="38" w:name="_Toc270604602"/>
      <w:bookmarkStart w:id="39" w:name="_Toc269470324"/>
      <w:r>
        <w:rPr>
          <w:rFonts w:hint="eastAsia" w:ascii="宋体" w:hAnsi="宋体" w:cs="宋体"/>
          <w:b/>
          <w:color w:val="auto"/>
          <w:sz w:val="24"/>
          <w:highlight w:val="none"/>
        </w:rPr>
        <w:t>询比时间和地点</w:t>
      </w:r>
      <w:bookmarkEnd w:id="30"/>
      <w:bookmarkEnd w:id="31"/>
      <w:bookmarkEnd w:id="32"/>
      <w:bookmarkEnd w:id="33"/>
      <w:bookmarkEnd w:id="34"/>
      <w:bookmarkEnd w:id="35"/>
      <w:bookmarkEnd w:id="36"/>
      <w:bookmarkEnd w:id="37"/>
      <w:bookmarkEnd w:id="38"/>
      <w:bookmarkEnd w:id="39"/>
      <w:r>
        <w:rPr>
          <w:rFonts w:hint="eastAsia" w:ascii="宋体" w:hAnsi="宋体" w:cs="宋体"/>
          <w:b/>
          <w:color w:val="auto"/>
          <w:sz w:val="24"/>
          <w:highlight w:val="none"/>
        </w:rPr>
        <w:t>：见前附表</w:t>
      </w:r>
    </w:p>
    <w:p>
      <w:pPr>
        <w:pageBreakBefore w:val="0"/>
        <w:kinsoku/>
        <w:wordWrap/>
        <w:topLinePunct w:val="0"/>
        <w:bidi w:val="0"/>
        <w:snapToGrid/>
        <w:spacing w:line="360" w:lineRule="auto"/>
        <w:ind w:left="0" w:leftChars="0" w:firstLine="482" w:firstLineChars="200"/>
        <w:textAlignment w:val="auto"/>
        <w:rPr>
          <w:rFonts w:ascii="宋体" w:hAnsi="宋体" w:cs="宋体"/>
          <w:color w:val="auto"/>
          <w:sz w:val="24"/>
          <w:highlight w:val="none"/>
        </w:rPr>
      </w:pPr>
      <w:bookmarkStart w:id="40" w:name="_Toc375860164"/>
      <w:bookmarkStart w:id="41" w:name="_Toc375860377"/>
      <w:bookmarkStart w:id="42" w:name="_Toc6446"/>
      <w:bookmarkStart w:id="43" w:name="_Toc392168214"/>
      <w:r>
        <w:rPr>
          <w:rFonts w:hint="eastAsia" w:ascii="宋体" w:hAnsi="宋体" w:cs="宋体"/>
          <w:b/>
          <w:color w:val="auto"/>
          <w:sz w:val="24"/>
          <w:highlight w:val="none"/>
        </w:rPr>
        <w:t>5.2 询比会议程序：</w:t>
      </w:r>
      <w:bookmarkEnd w:id="40"/>
      <w:bookmarkEnd w:id="41"/>
      <w:bookmarkEnd w:id="42"/>
      <w:bookmarkEnd w:id="43"/>
      <w:r>
        <w:rPr>
          <w:rFonts w:hint="eastAsia" w:ascii="宋体" w:hAnsi="宋体" w:cs="宋体"/>
          <w:b/>
          <w:color w:val="auto"/>
          <w:sz w:val="24"/>
          <w:highlight w:val="none"/>
        </w:rPr>
        <w:t>见前附表</w:t>
      </w:r>
    </w:p>
    <w:p>
      <w:pPr>
        <w:pageBreakBefore w:val="0"/>
        <w:kinsoku/>
        <w:wordWrap/>
        <w:topLinePunct w:val="0"/>
        <w:bidi w:val="0"/>
        <w:snapToGrid/>
        <w:spacing w:line="360" w:lineRule="auto"/>
        <w:ind w:left="0" w:leftChars="0" w:firstLine="482" w:firstLineChars="200"/>
        <w:textAlignment w:val="auto"/>
        <w:rPr>
          <w:rFonts w:ascii="宋体" w:hAnsi="宋体" w:cs="宋体"/>
          <w:b/>
          <w:color w:val="auto"/>
          <w:sz w:val="24"/>
          <w:highlight w:val="none"/>
        </w:rPr>
      </w:pPr>
      <w:bookmarkStart w:id="44" w:name="_Toc15465"/>
      <w:bookmarkStart w:id="45" w:name="_Toc428276600"/>
      <w:r>
        <w:rPr>
          <w:rFonts w:hint="eastAsia" w:ascii="宋体" w:hAnsi="宋体" w:cs="宋体"/>
          <w:b/>
          <w:color w:val="auto"/>
          <w:sz w:val="24"/>
          <w:highlight w:val="none"/>
        </w:rPr>
        <w:t>5.3 资格审查：</w:t>
      </w:r>
    </w:p>
    <w:p>
      <w:pPr>
        <w:pStyle w:val="10"/>
        <w:pageBreakBefore w:val="0"/>
        <w:kinsoku/>
        <w:wordWrap/>
        <w:overflowPunct w:val="0"/>
        <w:topLinePunct w:val="0"/>
        <w:bidi w:val="0"/>
        <w:snapToGrid/>
        <w:spacing w:line="360" w:lineRule="auto"/>
        <w:ind w:left="0" w:leftChars="0" w:firstLine="480" w:firstLineChars="200"/>
        <w:textAlignment w:val="auto"/>
        <w:rPr>
          <w:rFonts w:ascii="宋体" w:hAnsi="宋体" w:cs="宋体"/>
          <w:color w:val="auto"/>
          <w:sz w:val="24"/>
          <w:highlight w:val="none"/>
        </w:rPr>
      </w:pPr>
      <w:bookmarkStart w:id="46" w:name="_Toc90713357"/>
      <w:bookmarkStart w:id="47" w:name="_Toc90712538"/>
      <w:bookmarkStart w:id="48" w:name="_Toc109550798"/>
      <w:bookmarkStart w:id="49" w:name="_Toc109537522"/>
      <w:r>
        <w:rPr>
          <w:rFonts w:hint="eastAsia" w:ascii="宋体" w:hAnsi="宋体" w:cs="宋体"/>
          <w:color w:val="auto"/>
          <w:sz w:val="24"/>
          <w:highlight w:val="none"/>
        </w:rPr>
        <w:t>5.3.3响应文件有下列情况之一者，由评审小组按无效响应文件处理，不再进入下一步评审。</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（1）未按照询比文件的规定提交询比保证金的（若有）；</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（2）响应文件未按照询比文件要求签字、盖章的；</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（3）响应文件具有其他不满足询比文件实质性要求的；</w:t>
      </w:r>
    </w:p>
    <w:p>
      <w:pPr>
        <w:pageBreakBefore w:val="0"/>
        <w:kinsoku/>
        <w:wordWrap/>
        <w:topLinePunct w:val="0"/>
        <w:bidi w:val="0"/>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（4）响应文件含有采购人不能接受的附加条件的。</w:t>
      </w:r>
    </w:p>
    <w:p>
      <w:pPr>
        <w:pStyle w:val="2"/>
        <w:rPr>
          <w:color w:val="auto"/>
          <w:highlight w:val="none"/>
        </w:rPr>
      </w:pPr>
      <w:r>
        <w:rPr>
          <w:rFonts w:hint="eastAsia" w:ascii="宋体" w:hAnsi="宋体" w:cs="宋体"/>
          <w:color w:val="auto"/>
          <w:sz w:val="24"/>
          <w:highlight w:val="none"/>
          <w:lang w:val="en-US" w:eastAsia="zh-CN"/>
        </w:rPr>
        <w:t xml:space="preserve">    （5）超过最高限价的。</w:t>
      </w:r>
    </w:p>
    <w:p>
      <w:pPr>
        <w:pStyle w:val="48"/>
        <w:pageBreakBefore w:val="0"/>
        <w:kinsoku/>
        <w:wordWrap/>
        <w:topLinePunct w:val="0"/>
        <w:bidi w:val="0"/>
        <w:snapToGrid/>
        <w:spacing w:line="360" w:lineRule="auto"/>
        <w:ind w:left="0" w:leftChars="0" w:firstLine="480" w:firstLineChars="200"/>
        <w:textAlignment w:val="auto"/>
        <w:rPr>
          <w:color w:val="auto"/>
          <w:highlight w:val="none"/>
        </w:rPr>
      </w:pPr>
      <w:r>
        <w:rPr>
          <w:rFonts w:hint="eastAsia"/>
          <w:color w:val="auto"/>
          <w:highlight w:val="none"/>
        </w:rPr>
        <w:t>本项目资格审查资料不要求提供原件</w:t>
      </w:r>
    </w:p>
    <w:p>
      <w:pPr>
        <w:pageBreakBefore w:val="0"/>
        <w:tabs>
          <w:tab w:val="center" w:pos="5335"/>
        </w:tabs>
        <w:kinsoku/>
        <w:wordWrap/>
        <w:topLinePunct w:val="0"/>
        <w:bidi w:val="0"/>
        <w:snapToGrid/>
        <w:spacing w:line="360" w:lineRule="auto"/>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5.4 评审：</w:t>
      </w:r>
      <w:r>
        <w:rPr>
          <w:rFonts w:hint="eastAsia" w:ascii="宋体" w:hAnsi="宋体" w:cs="宋体"/>
          <w:b/>
          <w:color w:val="auto"/>
          <w:sz w:val="24"/>
          <w:highlight w:val="none"/>
        </w:rPr>
        <w:tab/>
      </w:r>
    </w:p>
    <w:p>
      <w:pPr>
        <w:pStyle w:val="49"/>
        <w:pageBreakBefore w:val="0"/>
        <w:tabs>
          <w:tab w:val="left" w:pos="0"/>
        </w:tabs>
        <w:kinsoku/>
        <w:wordWrap/>
        <w:topLinePunct w:val="0"/>
        <w:bidi w:val="0"/>
        <w:snapToGrid/>
        <w:spacing w:line="360" w:lineRule="auto"/>
        <w:ind w:left="0" w:leftChars="0" w:firstLine="480" w:firstLineChars="200"/>
        <w:jc w:val="both"/>
        <w:textAlignment w:val="auto"/>
        <w:rPr>
          <w:rFonts w:hAnsi="宋体"/>
          <w:color w:val="auto"/>
          <w:kern w:val="2"/>
          <w:highlight w:val="none"/>
        </w:rPr>
      </w:pPr>
      <w:r>
        <w:rPr>
          <w:rFonts w:hint="eastAsia" w:hAnsi="宋体"/>
          <w:color w:val="auto"/>
          <w:kern w:val="2"/>
          <w:highlight w:val="none"/>
        </w:rPr>
        <w:t>5.4.1 为有助于对响应文件的审查、评价和比较，询比评审小组可分别要求响应人对响应文件中含义不清的内容进行澄清。有关澄清的要求和答复均须以书面形式，但询比的实质性内容不得更改。</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bookmarkStart w:id="50" w:name="_Toc6043"/>
      <w:bookmarkStart w:id="51" w:name="_Toc428276601"/>
      <w:bookmarkStart w:id="52" w:name="_Toc422126474"/>
      <w:bookmarkStart w:id="53" w:name="_Toc16151"/>
      <w:bookmarkStart w:id="54" w:name="_Toc8828"/>
      <w:bookmarkStart w:id="55" w:name="_Toc1401"/>
      <w:bookmarkStart w:id="56" w:name="_Toc422126473"/>
      <w:bookmarkStart w:id="57" w:name="_Toc21920"/>
      <w:bookmarkStart w:id="58" w:name="_Toc428276599"/>
      <w:bookmarkStart w:id="59" w:name="_Toc22888"/>
      <w:r>
        <w:rPr>
          <w:rFonts w:hint="eastAsia" w:ascii="宋体" w:hAnsi="宋体" w:cs="宋体"/>
          <w:color w:val="auto"/>
          <w:sz w:val="24"/>
          <w:highlight w:val="none"/>
        </w:rPr>
        <w:t>5.4.2评审小组</w:t>
      </w:r>
      <w:r>
        <w:rPr>
          <w:rFonts w:hint="eastAsia" w:ascii="宋体" w:hAnsi="宋体" w:cs="宋体"/>
          <w:color w:val="auto"/>
          <w:sz w:val="24"/>
          <w:highlight w:val="none"/>
          <w:lang w:val="en-US" w:eastAsia="zh-CN"/>
        </w:rPr>
        <w:t>以综合评分法，按</w:t>
      </w:r>
      <w:r>
        <w:rPr>
          <w:rFonts w:hint="eastAsia" w:ascii="宋体" w:hAnsi="宋体" w:cs="宋体"/>
          <w:color w:val="auto"/>
          <w:sz w:val="24"/>
          <w:highlight w:val="none"/>
        </w:rPr>
        <w:t>照“</w:t>
      </w:r>
      <w:r>
        <w:rPr>
          <w:rFonts w:hint="eastAsia" w:ascii="宋体" w:hAnsi="宋体" w:cs="宋体"/>
          <w:color w:val="auto"/>
          <w:sz w:val="24"/>
          <w:highlight w:val="none"/>
          <w:lang w:val="en-US" w:eastAsia="zh-CN"/>
        </w:rPr>
        <w:t>评分办法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对供应商进行打分，</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到</w:t>
      </w:r>
      <w:r>
        <w:rPr>
          <w:rFonts w:hint="eastAsia" w:ascii="宋体" w:hAnsi="宋体" w:cs="宋体"/>
          <w:color w:val="auto"/>
          <w:sz w:val="24"/>
          <w:highlight w:val="none"/>
          <w:lang w:val="en-US" w:eastAsia="zh-CN"/>
        </w:rPr>
        <w:t>低</w:t>
      </w:r>
      <w:r>
        <w:rPr>
          <w:rFonts w:hint="eastAsia" w:ascii="宋体" w:hAnsi="宋体" w:cs="宋体"/>
          <w:color w:val="auto"/>
          <w:sz w:val="24"/>
          <w:highlight w:val="none"/>
        </w:rPr>
        <w:t>推荐</w:t>
      </w:r>
      <w:r>
        <w:rPr>
          <w:rFonts w:hint="eastAsia" w:ascii="宋体" w:hAnsi="宋体" w:cs="宋体"/>
          <w:color w:val="auto"/>
          <w:sz w:val="24"/>
          <w:highlight w:val="none"/>
          <w:lang w:val="en-US" w:eastAsia="zh-CN"/>
        </w:rPr>
        <w:t>2名</w:t>
      </w:r>
      <w:r>
        <w:rPr>
          <w:rFonts w:hint="eastAsia" w:ascii="宋体" w:hAnsi="宋体" w:cs="宋体"/>
          <w:color w:val="auto"/>
          <w:sz w:val="24"/>
          <w:highlight w:val="none"/>
        </w:rPr>
        <w:t>候选供应商</w:t>
      </w:r>
      <w:r>
        <w:rPr>
          <w:rFonts w:hint="eastAsia" w:ascii="宋体" w:hAnsi="宋体" w:cs="宋体"/>
          <w:color w:val="auto"/>
          <w:sz w:val="24"/>
          <w:highlight w:val="none"/>
          <w:lang w:eastAsia="zh-CN"/>
        </w:rPr>
        <w:t>。</w:t>
      </w:r>
      <w:r>
        <w:rPr>
          <w:rFonts w:hint="eastAsia" w:ascii="宋体" w:hAnsi="宋体" w:cs="宋体"/>
          <w:color w:val="auto"/>
          <w:sz w:val="24"/>
          <w:highlight w:val="none"/>
        </w:rPr>
        <w:t>评审小组在评审报告上签字。</w:t>
      </w:r>
    </w:p>
    <w:p>
      <w:pPr>
        <w:pageBreakBefore w:val="0"/>
        <w:kinsoku/>
        <w:wordWrap/>
        <w:topLinePunct w:val="0"/>
        <w:bidi w:val="0"/>
        <w:snapToGrid/>
        <w:spacing w:line="360" w:lineRule="auto"/>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5.5采购结果</w:t>
      </w:r>
      <w:bookmarkEnd w:id="50"/>
      <w:bookmarkEnd w:id="51"/>
      <w:bookmarkEnd w:id="52"/>
      <w:r>
        <w:rPr>
          <w:rFonts w:hint="eastAsia" w:ascii="宋体" w:hAnsi="宋体" w:cs="宋体"/>
          <w:b/>
          <w:color w:val="auto"/>
          <w:sz w:val="24"/>
          <w:highlight w:val="none"/>
        </w:rPr>
        <w:t>公告</w:t>
      </w:r>
    </w:p>
    <w:p>
      <w:pPr>
        <w:pageBreakBefore w:val="0"/>
        <w:kinsoku/>
        <w:wordWrap/>
        <w:topLinePunct w:val="0"/>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5.5.1 采购人从询比评审小组提出的成交候选人中按照推荐顺序确定成交人，并将结果在询比公告发布的相同媒介进行公示。</w:t>
      </w:r>
    </w:p>
    <w:bookmarkEnd w:id="44"/>
    <w:bookmarkEnd w:id="45"/>
    <w:bookmarkEnd w:id="46"/>
    <w:bookmarkEnd w:id="47"/>
    <w:bookmarkEnd w:id="48"/>
    <w:bookmarkEnd w:id="49"/>
    <w:bookmarkEnd w:id="53"/>
    <w:bookmarkEnd w:id="54"/>
    <w:bookmarkEnd w:id="55"/>
    <w:bookmarkEnd w:id="56"/>
    <w:bookmarkEnd w:id="57"/>
    <w:bookmarkEnd w:id="58"/>
    <w:bookmarkEnd w:id="59"/>
    <w:p>
      <w:pPr>
        <w:pStyle w:val="6"/>
        <w:pageBreakBefore w:val="0"/>
        <w:kinsoku/>
        <w:wordWrap/>
        <w:topLinePunct w:val="0"/>
        <w:bidi w:val="0"/>
        <w:snapToGrid/>
        <w:spacing w:before="0" w:after="0" w:line="360" w:lineRule="auto"/>
        <w:ind w:left="0" w:leftChars="0" w:firstLine="482" w:firstLineChars="200"/>
        <w:jc w:val="left"/>
        <w:textAlignment w:val="auto"/>
        <w:rPr>
          <w:color w:val="auto"/>
          <w:sz w:val="24"/>
          <w:szCs w:val="16"/>
          <w:highlight w:val="none"/>
        </w:rPr>
      </w:pPr>
      <w:bookmarkStart w:id="60" w:name="_Toc24735"/>
      <w:bookmarkStart w:id="61" w:name="_Toc10924"/>
      <w:r>
        <w:rPr>
          <w:rFonts w:hint="eastAsia"/>
          <w:color w:val="auto"/>
          <w:sz w:val="24"/>
          <w:szCs w:val="16"/>
          <w:highlight w:val="none"/>
        </w:rPr>
        <w:t>六、合同的授予和签订</w:t>
      </w:r>
      <w:bookmarkEnd w:id="60"/>
      <w:bookmarkEnd w:id="61"/>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6.1合同的授予和签订：</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6.1.1</w:t>
      </w:r>
      <w:r>
        <w:rPr>
          <w:rFonts w:hint="eastAsia" w:ascii="宋体" w:hAnsi="宋体" w:cs="宋体"/>
          <w:color w:val="auto"/>
          <w:sz w:val="24"/>
          <w:highlight w:val="none"/>
        </w:rPr>
        <w:t>本合同将授予经过询比评审小组推荐并经采购人确认的成交单位。成交</w:t>
      </w:r>
      <w:r>
        <w:rPr>
          <w:rFonts w:hint="eastAsia" w:ascii="宋体" w:hAnsi="宋体" w:cs="宋体"/>
          <w:color w:val="auto"/>
          <w:kern w:val="0"/>
          <w:sz w:val="24"/>
          <w:highlight w:val="none"/>
        </w:rPr>
        <w:t>单位收到</w:t>
      </w:r>
      <w:r>
        <w:rPr>
          <w:rFonts w:hint="eastAsia" w:ascii="宋体" w:hAnsi="宋体" w:cs="宋体"/>
          <w:color w:val="auto"/>
          <w:sz w:val="24"/>
          <w:highlight w:val="none"/>
        </w:rPr>
        <w:t>成交</w:t>
      </w:r>
      <w:r>
        <w:rPr>
          <w:rFonts w:hint="eastAsia" w:ascii="宋体" w:hAnsi="宋体" w:cs="宋体"/>
          <w:color w:val="auto"/>
          <w:kern w:val="0"/>
          <w:sz w:val="24"/>
          <w:highlight w:val="none"/>
        </w:rPr>
        <w:t>通知书后应严格按照通知书要求的时间和地点与采购人签订合同。</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6.1.2</w:t>
      </w:r>
      <w:r>
        <w:rPr>
          <w:rFonts w:hint="eastAsia" w:ascii="宋体" w:hAnsi="宋体" w:cs="宋体"/>
          <w:color w:val="auto"/>
          <w:sz w:val="24"/>
          <w:highlight w:val="none"/>
        </w:rPr>
        <w:t>排名第一的成交候选人放弃中标、因不可抗力提出不能履行合同或采购人发现其响应资料有虚假不实之处，采购人可以确定排名第二的成交候选人为中标人。排名第二的成交候选人也出现前述情况，采购人也可以重新采购。</w:t>
      </w:r>
    </w:p>
    <w:p>
      <w:pPr>
        <w:pageBreakBefore w:val="0"/>
        <w:widowControl/>
        <w:kinsoku/>
        <w:wordWrap/>
        <w:topLinePunct w:val="0"/>
        <w:bidi w:val="0"/>
        <w:snapToGrid/>
        <w:spacing w:line="360" w:lineRule="auto"/>
        <w:ind w:firstLine="240" w:firstLineChars="1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6.1.3</w:t>
      </w:r>
      <w:r>
        <w:rPr>
          <w:rFonts w:hint="eastAsia" w:ascii="宋体" w:hAnsi="宋体" w:cs="宋体"/>
          <w:color w:val="auto"/>
          <w:sz w:val="24"/>
          <w:highlight w:val="none"/>
        </w:rPr>
        <w:t>成交</w:t>
      </w:r>
      <w:r>
        <w:rPr>
          <w:rFonts w:hint="eastAsia" w:ascii="宋体" w:hAnsi="宋体" w:cs="宋体"/>
          <w:color w:val="auto"/>
          <w:kern w:val="0"/>
          <w:sz w:val="24"/>
          <w:highlight w:val="none"/>
        </w:rPr>
        <w:t>通知书是采购合同的组成部分,对采购人和</w:t>
      </w:r>
      <w:r>
        <w:rPr>
          <w:rFonts w:hint="eastAsia" w:ascii="宋体" w:hAnsi="宋体" w:cs="宋体"/>
          <w:color w:val="auto"/>
          <w:sz w:val="24"/>
          <w:highlight w:val="none"/>
        </w:rPr>
        <w:t>成交</w:t>
      </w:r>
      <w:r>
        <w:rPr>
          <w:rFonts w:hint="eastAsia" w:ascii="宋体" w:hAnsi="宋体" w:cs="宋体"/>
          <w:color w:val="auto"/>
          <w:kern w:val="0"/>
          <w:sz w:val="24"/>
          <w:highlight w:val="none"/>
        </w:rPr>
        <w:t>人均具有法律效力。</w:t>
      </w:r>
      <w:r>
        <w:rPr>
          <w:rFonts w:hint="eastAsia" w:ascii="宋体" w:hAnsi="宋体" w:cs="宋体"/>
          <w:color w:val="auto"/>
          <w:sz w:val="24"/>
          <w:highlight w:val="none"/>
        </w:rPr>
        <w:t>成交</w:t>
      </w:r>
      <w:r>
        <w:rPr>
          <w:rFonts w:hint="eastAsia" w:ascii="宋体" w:hAnsi="宋体" w:cs="宋体"/>
          <w:color w:val="auto"/>
          <w:kern w:val="0"/>
          <w:sz w:val="24"/>
          <w:highlight w:val="none"/>
        </w:rPr>
        <w:t>通知书发出后,任何人改变成交结果或成交人放弃成交项目的均应依法承担法律责任。</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6.2履约保证金（若有）：</w:t>
      </w:r>
    </w:p>
    <w:p>
      <w:pPr>
        <w:pageBreakBefore w:val="0"/>
        <w:widowControl/>
        <w:kinsoku/>
        <w:wordWrap/>
        <w:topLinePunct w:val="0"/>
        <w:bidi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在签订合同前，中标人应按前附表规定的形式、金额向采购人提交履约保证金。中标人不能按要求提交履约保证金的，视为放弃中标，其采购保证金不予退还，给采购人造成的损失超过采购保证金数额的，中标人还应当对超过部分予以赔偿。</w:t>
      </w:r>
    </w:p>
    <w:p>
      <w:pPr>
        <w:pageBreakBefore w:val="0"/>
        <w:kinsoku/>
        <w:wordWrap/>
        <w:topLinePunct w:val="0"/>
        <w:bidi w:val="0"/>
        <w:snapToGrid/>
        <w:spacing w:line="360" w:lineRule="auto"/>
        <w:ind w:left="0" w:leftChars="0" w:firstLine="480" w:firstLineChars="200"/>
        <w:textAlignment w:val="auto"/>
        <w:rPr>
          <w:rFonts w:ascii="宋体" w:hAnsi="宋体" w:cs="宋体"/>
          <w:bCs/>
          <w:color w:val="auto"/>
          <w:sz w:val="24"/>
          <w:highlight w:val="none"/>
        </w:rPr>
      </w:pPr>
      <w:r>
        <w:rPr>
          <w:rFonts w:hint="eastAsia" w:ascii="宋体" w:hAnsi="宋体" w:cs="宋体"/>
          <w:color w:val="auto"/>
          <w:kern w:val="0"/>
          <w:sz w:val="24"/>
          <w:highlight w:val="none"/>
        </w:rPr>
        <w:t xml:space="preserve">  6.3付款方式：</w:t>
      </w:r>
      <w:r>
        <w:rPr>
          <w:rFonts w:hint="eastAsia" w:ascii="宋体" w:hAnsi="宋体" w:cs="宋体"/>
          <w:bCs/>
          <w:color w:val="auto"/>
          <w:sz w:val="24"/>
          <w:highlight w:val="none"/>
        </w:rPr>
        <w:t>银行转帐。</w:t>
      </w:r>
    </w:p>
    <w:p>
      <w:pPr>
        <w:pageBreakBefore w:val="0"/>
        <w:widowControl/>
        <w:kinsoku/>
        <w:wordWrap/>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rPr>
      </w:pPr>
      <w:bookmarkStart w:id="62" w:name="_Toc2551"/>
      <w:r>
        <w:rPr>
          <w:rFonts w:hint="eastAsia" w:ascii="宋体" w:hAnsi="宋体" w:eastAsia="宋体" w:cs="宋体"/>
          <w:color w:val="auto"/>
          <w:sz w:val="24"/>
          <w:highlight w:val="none"/>
        </w:rPr>
        <w:t>乙方向甲方提供符合规范要求的核实测绘成果，开具增值税普通发票后甲方一次付清全部费用</w:t>
      </w:r>
    </w:p>
    <w:p>
      <w:pPr>
        <w:pStyle w:val="6"/>
        <w:pageBreakBefore w:val="0"/>
        <w:kinsoku/>
        <w:wordWrap/>
        <w:topLinePunct w:val="0"/>
        <w:bidi w:val="0"/>
        <w:snapToGrid/>
        <w:spacing w:before="0" w:after="0" w:line="360" w:lineRule="auto"/>
        <w:ind w:left="0" w:leftChars="0" w:firstLine="482" w:firstLineChars="200"/>
        <w:jc w:val="left"/>
        <w:textAlignment w:val="auto"/>
        <w:rPr>
          <w:color w:val="auto"/>
          <w:sz w:val="24"/>
          <w:szCs w:val="16"/>
          <w:highlight w:val="none"/>
        </w:rPr>
      </w:pPr>
      <w:r>
        <w:rPr>
          <w:rFonts w:hint="eastAsia"/>
          <w:color w:val="auto"/>
          <w:sz w:val="24"/>
          <w:szCs w:val="16"/>
          <w:highlight w:val="none"/>
        </w:rPr>
        <w:t>七、</w:t>
      </w:r>
      <w:bookmarkStart w:id="63" w:name="_Toc26788"/>
      <w:bookmarkStart w:id="64" w:name="_Toc270604610"/>
      <w:bookmarkStart w:id="65" w:name="_Toc269470338"/>
      <w:r>
        <w:rPr>
          <w:rFonts w:hint="eastAsia"/>
          <w:color w:val="auto"/>
          <w:sz w:val="24"/>
          <w:szCs w:val="16"/>
          <w:highlight w:val="none"/>
        </w:rPr>
        <w:t>纪律和监督</w:t>
      </w:r>
      <w:bookmarkEnd w:id="62"/>
      <w:bookmarkEnd w:id="63"/>
      <w:bookmarkEnd w:id="64"/>
      <w:bookmarkEnd w:id="65"/>
    </w:p>
    <w:p>
      <w:pPr>
        <w:pStyle w:val="49"/>
        <w:pageBreakBefore w:val="0"/>
        <w:tabs>
          <w:tab w:val="left" w:pos="540"/>
        </w:tabs>
        <w:kinsoku/>
        <w:wordWrap/>
        <w:topLinePunct w:val="0"/>
        <w:bidi w:val="0"/>
        <w:snapToGrid/>
        <w:spacing w:line="360" w:lineRule="auto"/>
        <w:ind w:left="0" w:leftChars="0" w:firstLine="480" w:firstLineChars="200"/>
        <w:jc w:val="both"/>
        <w:textAlignment w:val="auto"/>
        <w:outlineLvl w:val="1"/>
        <w:rPr>
          <w:rFonts w:hAnsi="宋体"/>
          <w:color w:val="auto"/>
          <w:highlight w:val="none"/>
        </w:rPr>
      </w:pPr>
      <w:bookmarkStart w:id="66" w:name="_Toc269470339"/>
      <w:bookmarkStart w:id="67" w:name="_Toc270604611"/>
      <w:bookmarkStart w:id="68" w:name="_Toc277149399"/>
      <w:bookmarkStart w:id="69" w:name="_Toc7749"/>
      <w:bookmarkStart w:id="70" w:name="_Toc8173"/>
      <w:bookmarkStart w:id="71" w:name="_Toc428276606"/>
      <w:bookmarkStart w:id="72" w:name="_Toc270604838"/>
      <w:r>
        <w:rPr>
          <w:rFonts w:hint="eastAsia" w:hAnsi="宋体"/>
          <w:color w:val="auto"/>
          <w:highlight w:val="none"/>
        </w:rPr>
        <w:t>7.1 对采购人的纪律要求</w:t>
      </w:r>
      <w:bookmarkEnd w:id="66"/>
      <w:bookmarkEnd w:id="67"/>
      <w:bookmarkEnd w:id="68"/>
      <w:bookmarkEnd w:id="69"/>
      <w:bookmarkEnd w:id="70"/>
      <w:bookmarkEnd w:id="71"/>
      <w:bookmarkEnd w:id="72"/>
    </w:p>
    <w:p>
      <w:pPr>
        <w:pageBreakBefore w:val="0"/>
        <w:kinsoku/>
        <w:wordWrap/>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采购人不得泄漏询比中应当保密的情况和资料，不得与供应商串通损害国家利益、社会公共利益或者他人合法权益。</w:t>
      </w:r>
    </w:p>
    <w:p>
      <w:pPr>
        <w:pStyle w:val="49"/>
        <w:pageBreakBefore w:val="0"/>
        <w:tabs>
          <w:tab w:val="left" w:pos="540"/>
        </w:tabs>
        <w:kinsoku/>
        <w:wordWrap/>
        <w:topLinePunct w:val="0"/>
        <w:bidi w:val="0"/>
        <w:snapToGrid/>
        <w:spacing w:line="360" w:lineRule="auto"/>
        <w:ind w:left="0" w:leftChars="0" w:firstLine="480" w:firstLineChars="200"/>
        <w:jc w:val="both"/>
        <w:textAlignment w:val="auto"/>
        <w:outlineLvl w:val="1"/>
        <w:rPr>
          <w:rFonts w:hAnsi="宋体"/>
          <w:color w:val="auto"/>
          <w:highlight w:val="none"/>
        </w:rPr>
      </w:pPr>
      <w:bookmarkStart w:id="73" w:name="_Toc13813"/>
      <w:bookmarkStart w:id="74" w:name="_Toc269470340"/>
      <w:bookmarkStart w:id="75" w:name="_Toc6152"/>
      <w:bookmarkStart w:id="76" w:name="_Toc270604612"/>
      <w:bookmarkStart w:id="77" w:name="_Toc277149400"/>
      <w:bookmarkStart w:id="78" w:name="_Toc428276607"/>
      <w:bookmarkStart w:id="79" w:name="_Toc270604839"/>
      <w:r>
        <w:rPr>
          <w:rFonts w:hint="eastAsia" w:hAnsi="宋体"/>
          <w:color w:val="auto"/>
          <w:highlight w:val="none"/>
        </w:rPr>
        <w:t>7.2 对供应商的纪律要求</w:t>
      </w:r>
      <w:bookmarkEnd w:id="73"/>
      <w:bookmarkEnd w:id="74"/>
      <w:bookmarkEnd w:id="75"/>
      <w:bookmarkEnd w:id="76"/>
      <w:bookmarkEnd w:id="77"/>
      <w:bookmarkEnd w:id="78"/>
      <w:bookmarkEnd w:id="79"/>
    </w:p>
    <w:p>
      <w:pPr>
        <w:pageBreakBefore w:val="0"/>
        <w:kinsoku/>
        <w:wordWrap/>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供应商不得相互串通或者与采购人串通，不得向采购人或者评审小组成员行贿谋取中标，不得以他人名义或者以其他方式弄虚作假骗取中标；供应商不得以任何方式干扰、影响采购工作。</w:t>
      </w:r>
    </w:p>
    <w:p>
      <w:pPr>
        <w:pStyle w:val="49"/>
        <w:pageBreakBefore w:val="0"/>
        <w:tabs>
          <w:tab w:val="left" w:pos="540"/>
        </w:tabs>
        <w:kinsoku/>
        <w:wordWrap/>
        <w:topLinePunct w:val="0"/>
        <w:bidi w:val="0"/>
        <w:snapToGrid/>
        <w:spacing w:line="360" w:lineRule="auto"/>
        <w:ind w:left="0" w:leftChars="0" w:firstLine="480" w:firstLineChars="200"/>
        <w:jc w:val="both"/>
        <w:textAlignment w:val="auto"/>
        <w:outlineLvl w:val="1"/>
        <w:rPr>
          <w:rFonts w:hAnsi="宋体"/>
          <w:color w:val="auto"/>
          <w:highlight w:val="none"/>
        </w:rPr>
      </w:pPr>
      <w:bookmarkStart w:id="80" w:name="_Toc270604613"/>
      <w:bookmarkStart w:id="81" w:name="_Toc6497"/>
      <w:bookmarkStart w:id="82" w:name="_Toc269470341"/>
      <w:bookmarkStart w:id="83" w:name="_Toc4009"/>
      <w:bookmarkStart w:id="84" w:name="_Toc270604840"/>
      <w:bookmarkStart w:id="85" w:name="_Toc277149401"/>
      <w:bookmarkStart w:id="86" w:name="_Toc428276608"/>
      <w:r>
        <w:rPr>
          <w:rFonts w:hint="eastAsia" w:hAnsi="宋体"/>
          <w:color w:val="auto"/>
          <w:highlight w:val="none"/>
        </w:rPr>
        <w:t>7.3 对评审小组成员的纪律要求</w:t>
      </w:r>
      <w:bookmarkEnd w:id="80"/>
      <w:bookmarkEnd w:id="81"/>
      <w:bookmarkEnd w:id="82"/>
      <w:bookmarkEnd w:id="83"/>
      <w:bookmarkEnd w:id="84"/>
      <w:bookmarkEnd w:id="85"/>
      <w:bookmarkEnd w:id="86"/>
    </w:p>
    <w:p>
      <w:pPr>
        <w:pageBreakBefore w:val="0"/>
        <w:kinsoku/>
        <w:wordWrap/>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评审小组成员不得收受他人的财物或者其他好处，不得向他人透漏对响应文件的评审和比较、响应候选人的推荐情况以及与采购有关的其他情况。在采购活动中，评审小组成员不得擅离职守，影响采购程序正常进行。</w:t>
      </w:r>
    </w:p>
    <w:p>
      <w:pPr>
        <w:pStyle w:val="49"/>
        <w:pageBreakBefore w:val="0"/>
        <w:tabs>
          <w:tab w:val="left" w:pos="540"/>
        </w:tabs>
        <w:kinsoku/>
        <w:wordWrap/>
        <w:topLinePunct w:val="0"/>
        <w:bidi w:val="0"/>
        <w:snapToGrid/>
        <w:spacing w:line="360" w:lineRule="auto"/>
        <w:ind w:left="0" w:leftChars="0" w:firstLine="480" w:firstLineChars="200"/>
        <w:jc w:val="both"/>
        <w:textAlignment w:val="auto"/>
        <w:outlineLvl w:val="1"/>
        <w:rPr>
          <w:rFonts w:hAnsi="宋体"/>
          <w:color w:val="auto"/>
          <w:highlight w:val="none"/>
        </w:rPr>
      </w:pPr>
      <w:bookmarkStart w:id="87" w:name="_Toc7998"/>
      <w:bookmarkStart w:id="88" w:name="_Toc13061"/>
      <w:bookmarkStart w:id="89" w:name="_Toc277149402"/>
      <w:bookmarkStart w:id="90" w:name="_Toc428276609"/>
      <w:bookmarkStart w:id="91" w:name="_Toc269470342"/>
      <w:bookmarkStart w:id="92" w:name="_Toc270604841"/>
      <w:bookmarkStart w:id="93" w:name="_Toc270604614"/>
      <w:r>
        <w:rPr>
          <w:rFonts w:hint="eastAsia" w:hAnsi="宋体"/>
          <w:color w:val="auto"/>
          <w:highlight w:val="none"/>
        </w:rPr>
        <w:t>7.4 对与采购活动有关的工作人员的纪律要求</w:t>
      </w:r>
      <w:bookmarkEnd w:id="87"/>
      <w:bookmarkEnd w:id="88"/>
      <w:bookmarkEnd w:id="89"/>
      <w:bookmarkEnd w:id="90"/>
      <w:bookmarkEnd w:id="91"/>
      <w:bookmarkEnd w:id="92"/>
      <w:bookmarkEnd w:id="93"/>
    </w:p>
    <w:p>
      <w:pPr>
        <w:pageBreakBefore w:val="0"/>
        <w:kinsoku/>
        <w:wordWrap/>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与采购活动有关的工作人员不得收受他人的财物或者其他好处，不得向他人透漏对响应文件的评审和比较、候选人的推荐情况以及与采购有关的其他情况。</w:t>
      </w:r>
    </w:p>
    <w:p>
      <w:pPr>
        <w:pStyle w:val="49"/>
        <w:pageBreakBefore w:val="0"/>
        <w:tabs>
          <w:tab w:val="left" w:pos="540"/>
        </w:tabs>
        <w:kinsoku/>
        <w:wordWrap/>
        <w:topLinePunct w:val="0"/>
        <w:bidi w:val="0"/>
        <w:snapToGrid/>
        <w:spacing w:line="360" w:lineRule="auto"/>
        <w:ind w:left="0" w:leftChars="0" w:firstLine="480" w:firstLineChars="200"/>
        <w:jc w:val="both"/>
        <w:textAlignment w:val="auto"/>
        <w:outlineLvl w:val="1"/>
        <w:rPr>
          <w:rFonts w:hAnsi="宋体"/>
          <w:color w:val="auto"/>
          <w:highlight w:val="none"/>
        </w:rPr>
      </w:pPr>
      <w:bookmarkStart w:id="94" w:name="_Toc23937"/>
      <w:bookmarkStart w:id="95" w:name="_Toc428276610"/>
      <w:bookmarkStart w:id="96" w:name="_Toc15629"/>
      <w:bookmarkStart w:id="97" w:name="_Toc277149403"/>
      <w:bookmarkStart w:id="98" w:name="_Toc269470343"/>
      <w:bookmarkStart w:id="99" w:name="_Toc270604842"/>
      <w:bookmarkStart w:id="100" w:name="_Toc270604615"/>
      <w:r>
        <w:rPr>
          <w:rFonts w:hint="eastAsia" w:hAnsi="宋体"/>
          <w:color w:val="auto"/>
          <w:highlight w:val="none"/>
        </w:rPr>
        <w:t>7.5 投诉</w:t>
      </w:r>
      <w:bookmarkEnd w:id="94"/>
      <w:bookmarkEnd w:id="95"/>
      <w:bookmarkEnd w:id="96"/>
      <w:bookmarkEnd w:id="97"/>
      <w:bookmarkEnd w:id="98"/>
      <w:bookmarkEnd w:id="99"/>
      <w:bookmarkEnd w:id="100"/>
    </w:p>
    <w:p>
      <w:pPr>
        <w:pageBreakBefore w:val="0"/>
        <w:kinsoku/>
        <w:wordWrap/>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供应商和其他利害关系人认为本次采购活动违反法律、法规和规章规定的，有权向有关行政监督部门投诉。</w:t>
      </w:r>
    </w:p>
    <w:p>
      <w:pPr>
        <w:pStyle w:val="35"/>
        <w:pageBreakBefore w:val="0"/>
        <w:kinsoku/>
        <w:wordWrap/>
        <w:topLinePunct w:val="0"/>
        <w:bidi w:val="0"/>
        <w:snapToGrid/>
        <w:spacing w:after="0" w:line="360" w:lineRule="auto"/>
        <w:ind w:left="0" w:leftChars="0" w:firstLine="420" w:firstLineChars="200"/>
        <w:textAlignment w:val="auto"/>
        <w:rPr>
          <w:color w:val="auto"/>
          <w:highlight w:val="none"/>
        </w:rPr>
      </w:pPr>
    </w:p>
    <w:p>
      <w:pPr>
        <w:pStyle w:val="49"/>
        <w:numPr>
          <w:ilvl w:val="0"/>
          <w:numId w:val="0"/>
        </w:numPr>
        <w:tabs>
          <w:tab w:val="left" w:pos="0"/>
        </w:tabs>
        <w:spacing w:line="360" w:lineRule="auto"/>
        <w:jc w:val="center"/>
        <w:outlineLvl w:val="0"/>
        <w:rPr>
          <w:rFonts w:hint="eastAsia" w:hAnsi="宋体"/>
          <w:b/>
          <w:bCs/>
          <w:color w:val="auto"/>
          <w:sz w:val="32"/>
          <w:szCs w:val="32"/>
          <w:highlight w:val="none"/>
        </w:rPr>
      </w:pPr>
      <w:r>
        <w:rPr>
          <w:rFonts w:hint="eastAsia" w:hAnsi="宋体"/>
          <w:b/>
          <w:bCs/>
          <w:color w:val="auto"/>
          <w:sz w:val="44"/>
          <w:szCs w:val="44"/>
          <w:highlight w:val="none"/>
        </w:rPr>
        <w:br w:type="page"/>
      </w:r>
      <w:bookmarkStart w:id="101" w:name="_Toc10670"/>
      <w:bookmarkStart w:id="102" w:name="_Toc10845"/>
      <w:r>
        <w:rPr>
          <w:rStyle w:val="81"/>
          <w:rFonts w:hint="eastAsia"/>
          <w:color w:val="auto"/>
          <w:highlight w:val="none"/>
          <w:lang w:eastAsia="zh-CN"/>
        </w:rPr>
        <w:t>第三章</w:t>
      </w:r>
      <w:r>
        <w:rPr>
          <w:rStyle w:val="81"/>
          <w:rFonts w:hint="eastAsia"/>
          <w:color w:val="auto"/>
          <w:highlight w:val="none"/>
          <w:lang w:val="en-US" w:eastAsia="zh-CN"/>
        </w:rPr>
        <w:t xml:space="preserve">  </w:t>
      </w:r>
      <w:r>
        <w:rPr>
          <w:rStyle w:val="81"/>
          <w:rFonts w:hint="eastAsia"/>
          <w:color w:val="auto"/>
          <w:highlight w:val="none"/>
        </w:rPr>
        <w:t>评审办法</w:t>
      </w:r>
      <w:bookmarkEnd w:id="101"/>
      <w:bookmarkEnd w:id="102"/>
      <w:r>
        <w:rPr>
          <w:rStyle w:val="80"/>
          <w:rFonts w:hint="eastAsia"/>
          <w:color w:val="auto"/>
          <w:highlight w:val="none"/>
        </w:rPr>
        <w:t xml:space="preserve"> </w:t>
      </w:r>
    </w:p>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评审办法采用综合评分法；</w:t>
      </w:r>
    </w:p>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评审小组按照评审办法进行打分，综合得分由高到低推荐2名成交候选人，评审小组在评审报告上签字。评分办法如下：</w:t>
      </w:r>
    </w:p>
    <w:tbl>
      <w:tblPr>
        <w:tblStyle w:val="38"/>
        <w:tblpPr w:leftFromText="180" w:rightFromText="180" w:vertAnchor="text" w:horzAnchor="page" w:tblpX="1789"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530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分值构成：100分</w:t>
            </w:r>
          </w:p>
        </w:tc>
        <w:tc>
          <w:tcPr>
            <w:tcW w:w="7013" w:type="dxa"/>
            <w:gridSpan w:val="2"/>
            <w:noWrap w:val="0"/>
            <w:vAlign w:val="top"/>
          </w:tcPr>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w:t>
            </w:r>
            <w:r>
              <w:rPr>
                <w:rFonts w:hint="eastAsia" w:hAnsi="宋体" w:cs="宋体"/>
                <w:color w:val="auto"/>
                <w:sz w:val="24"/>
                <w:szCs w:val="24"/>
                <w:highlight w:val="none"/>
                <w:lang w:val="en-US" w:eastAsia="zh-CN"/>
              </w:rPr>
              <w:t>业绩</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方案评审：30分</w:t>
            </w:r>
          </w:p>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报价部分：50分</w:t>
            </w:r>
          </w:p>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其他因素评分标准：</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p>
        </w:tc>
        <w:tc>
          <w:tcPr>
            <w:tcW w:w="5306" w:type="dxa"/>
            <w:noWrap w:val="0"/>
            <w:vAlign w:val="top"/>
          </w:tcPr>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评分因素</w:t>
            </w:r>
          </w:p>
        </w:tc>
        <w:tc>
          <w:tcPr>
            <w:tcW w:w="1707" w:type="dxa"/>
            <w:noWrap w:val="0"/>
            <w:vAlign w:val="top"/>
          </w:tcPr>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pStyle w:val="49"/>
              <w:tabs>
                <w:tab w:val="left" w:pos="540"/>
              </w:tabs>
              <w:spacing w:line="360" w:lineRule="auto"/>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企业综合实力</w:t>
            </w:r>
          </w:p>
          <w:p>
            <w:pPr>
              <w:pStyle w:val="49"/>
              <w:tabs>
                <w:tab w:val="left" w:pos="540"/>
              </w:tabs>
              <w:spacing w:line="360" w:lineRule="auto"/>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5306" w:type="dxa"/>
            <w:noWrap w:val="0"/>
            <w:vAlign w:val="center"/>
          </w:tcPr>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企业具有20</w:t>
            </w:r>
            <w:r>
              <w:rPr>
                <w:rFonts w:hint="eastAsia"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月1日以来完成过类似</w:t>
            </w:r>
            <w:r>
              <w:rPr>
                <w:rFonts w:hint="eastAsia" w:hAnsi="宋体" w:cs="宋体"/>
                <w:color w:val="auto"/>
                <w:sz w:val="24"/>
                <w:szCs w:val="24"/>
                <w:highlight w:val="none"/>
                <w:lang w:val="en-US" w:eastAsia="zh-CN"/>
              </w:rPr>
              <w:t>竣工规划核实或土地核验</w:t>
            </w:r>
            <w:r>
              <w:rPr>
                <w:rFonts w:hint="eastAsia" w:ascii="宋体" w:hAnsi="宋体" w:eastAsia="宋体" w:cs="宋体"/>
                <w:color w:val="auto"/>
                <w:sz w:val="24"/>
                <w:szCs w:val="24"/>
                <w:highlight w:val="none"/>
                <w:lang w:val="en-US" w:eastAsia="zh-CN"/>
              </w:rPr>
              <w:t>业绩</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，每有一份得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分，最多得</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pPr>
              <w:pStyle w:val="49"/>
              <w:tabs>
                <w:tab w:val="left" w:pos="540"/>
              </w:tabs>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（时间以合同签订日期为准，复印件加盖公章，资格项业绩此处不再重复计分）</w:t>
            </w:r>
            <w:r>
              <w:rPr>
                <w:rFonts w:hint="eastAsia" w:ascii="宋体" w:hAnsi="宋体" w:eastAsia="宋体" w:cs="宋体"/>
                <w:color w:val="auto"/>
                <w:spacing w:val="1"/>
                <w:kern w:val="0"/>
                <w:sz w:val="21"/>
                <w:szCs w:val="21"/>
                <w:highlight w:val="none"/>
                <w:lang w:val="en-US" w:eastAsia="zh-CN" w:bidi="ar-SA"/>
              </w:rPr>
              <w:t>。</w:t>
            </w:r>
          </w:p>
        </w:tc>
        <w:tc>
          <w:tcPr>
            <w:tcW w:w="1707" w:type="dxa"/>
            <w:noWrap w:val="0"/>
            <w:vAlign w:val="top"/>
          </w:tcPr>
          <w:p>
            <w:pPr>
              <w:pStyle w:val="49"/>
              <w:tabs>
                <w:tab w:val="left" w:pos="540"/>
              </w:tabs>
              <w:spacing w:line="360" w:lineRule="auto"/>
              <w:ind w:firstLine="480" w:firstLineChars="200"/>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pStyle w:val="49"/>
              <w:tabs>
                <w:tab w:val="left" w:pos="540"/>
              </w:tabs>
              <w:spacing w:line="360" w:lineRule="auto"/>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方案评审0-30分</w:t>
            </w:r>
          </w:p>
        </w:tc>
        <w:tc>
          <w:tcPr>
            <w:tcW w:w="5306" w:type="dxa"/>
            <w:noWrap w:val="0"/>
            <w:vAlign w:val="top"/>
          </w:tcPr>
          <w:p>
            <w:pPr>
              <w:pStyle w:val="49"/>
              <w:tabs>
                <w:tab w:val="left" w:pos="540"/>
              </w:tabs>
              <w:spacing w:line="360" w:lineRule="auto"/>
              <w:ind w:firstLine="480" w:firstLineChars="200"/>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项目实施方案合理、可行，进度控制</w:t>
            </w:r>
            <w:r>
              <w:rPr>
                <w:rFonts w:hint="eastAsia" w:hAnsi="宋体" w:cs="宋体"/>
                <w:color w:val="auto"/>
                <w:highlight w:val="none"/>
                <w:lang w:val="en-US" w:eastAsia="zh-CN"/>
              </w:rPr>
              <w:t>、保证成果数据准确的措施详实可行，</w:t>
            </w:r>
            <w:r>
              <w:rPr>
                <w:rFonts w:hint="eastAsia" w:ascii="宋体" w:hAnsi="宋体" w:eastAsia="宋体" w:cs="宋体"/>
                <w:color w:val="auto"/>
                <w:highlight w:val="none"/>
                <w:lang w:val="en-US" w:eastAsia="zh-CN"/>
              </w:rPr>
              <w:t>满足工程需要</w:t>
            </w:r>
            <w:r>
              <w:rPr>
                <w:rFonts w:hint="default" w:ascii="宋体" w:hAnsi="宋体" w:eastAsia="宋体" w:cs="宋体"/>
                <w:color w:val="auto"/>
                <w:highlight w:val="none"/>
                <w:lang w:val="en-US" w:eastAsia="zh-CN"/>
              </w:rPr>
              <w:t>。</w:t>
            </w:r>
          </w:p>
        </w:tc>
        <w:tc>
          <w:tcPr>
            <w:tcW w:w="1707" w:type="dxa"/>
            <w:noWrap w:val="0"/>
            <w:vAlign w:val="top"/>
          </w:tcPr>
          <w:p>
            <w:pPr>
              <w:pStyle w:val="49"/>
              <w:tabs>
                <w:tab w:val="left" w:pos="540"/>
              </w:tabs>
              <w:spacing w:line="360" w:lineRule="auto"/>
              <w:ind w:firstLine="480" w:firstLineChars="200"/>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pStyle w:val="49"/>
              <w:tabs>
                <w:tab w:val="left" w:pos="540"/>
              </w:tabs>
              <w:spacing w:line="360" w:lineRule="auto"/>
              <w:jc w:val="both"/>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响应报价评分标准</w:t>
            </w:r>
          </w:p>
          <w:p>
            <w:pPr>
              <w:pStyle w:val="49"/>
              <w:tabs>
                <w:tab w:val="left" w:pos="540"/>
              </w:tabs>
              <w:spacing w:line="360" w:lineRule="auto"/>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0-</w:t>
            </w:r>
            <w:r>
              <w:rPr>
                <w:rFonts w:hint="eastAsia" w:hAnsi="宋体" w:cs="宋体"/>
                <w:color w:val="auto"/>
                <w:highlight w:val="none"/>
                <w:lang w:val="en-US" w:eastAsia="zh-CN"/>
              </w:rPr>
              <w:t>5</w:t>
            </w:r>
            <w:r>
              <w:rPr>
                <w:rFonts w:hint="eastAsia" w:ascii="宋体" w:hAnsi="宋体" w:eastAsia="宋体" w:cs="宋体"/>
                <w:color w:val="auto"/>
                <w:highlight w:val="none"/>
                <w:lang w:val="en-US" w:eastAsia="zh-CN"/>
              </w:rPr>
              <w:t>0分</w:t>
            </w:r>
          </w:p>
        </w:tc>
        <w:tc>
          <w:tcPr>
            <w:tcW w:w="5306" w:type="dxa"/>
            <w:noWrap w:val="0"/>
            <w:vAlign w:val="center"/>
          </w:tcPr>
          <w:p>
            <w:pPr>
              <w:pageBreakBefore w:val="0"/>
              <w:kinsoku/>
              <w:topLinePunct w:val="0"/>
              <w:autoSpaceDE w:val="0"/>
              <w:autoSpaceDN w:val="0"/>
              <w:bidi w:val="0"/>
              <w:adjustRightInd w:val="0"/>
              <w:spacing w:line="360" w:lineRule="auto"/>
              <w:ind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基准价：通过初步评审所有报价的平均值。</w:t>
            </w:r>
          </w:p>
          <w:p>
            <w:pPr>
              <w:pageBreakBefore w:val="0"/>
              <w:kinsoku/>
              <w:topLinePunct w:val="0"/>
              <w:autoSpaceDE w:val="0"/>
              <w:autoSpaceDN w:val="0"/>
              <w:bidi w:val="0"/>
              <w:adjustRightIn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响应报价在基准价95%（含95%）至100%（含100%）范围内的得（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en-US" w:eastAsia="zh-CN" w:bidi="ar-SA"/>
              </w:rPr>
              <w:t xml:space="preserve">分）；报价高于评标基准价的，按每再高于基准价1%扣1分的比例从 </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en-US" w:eastAsia="zh-CN" w:bidi="ar-SA"/>
              </w:rPr>
              <w:t xml:space="preserve"> 分中进行扣分，扣完为止；报价低于基准价95%以下的，按每再低于评标基准价1%加1分的比例进行加分，最高加5分。</w:t>
            </w:r>
          </w:p>
        </w:tc>
        <w:tc>
          <w:tcPr>
            <w:tcW w:w="1707" w:type="dxa"/>
            <w:noWrap w:val="0"/>
            <w:vAlign w:val="top"/>
          </w:tcPr>
          <w:p>
            <w:pPr>
              <w:pStyle w:val="49"/>
              <w:tabs>
                <w:tab w:val="left" w:pos="540"/>
              </w:tabs>
              <w:spacing w:line="360" w:lineRule="auto"/>
              <w:ind w:firstLine="480" w:firstLineChars="200"/>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0-</w:t>
            </w:r>
            <w:r>
              <w:rPr>
                <w:rFonts w:hint="eastAsia" w:hAnsi="宋体" w:cs="宋体"/>
                <w:color w:val="auto"/>
                <w:highlight w:val="none"/>
                <w:lang w:val="en-US" w:eastAsia="zh-CN"/>
              </w:rPr>
              <w:t>50</w:t>
            </w:r>
            <w:r>
              <w:rPr>
                <w:rFonts w:hint="eastAsia" w:ascii="宋体" w:hAnsi="宋体" w:eastAsia="宋体" w:cs="宋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top"/>
          </w:tcPr>
          <w:p>
            <w:pPr>
              <w:pageBreakBefore w:val="0"/>
              <w:kinsoku/>
              <w:topLinePunct w:val="0"/>
              <w:autoSpaceDE w:val="0"/>
              <w:autoSpaceDN w:val="0"/>
              <w:bidi w:val="0"/>
              <w:adjustRightInd w:val="0"/>
              <w:spacing w:line="360" w:lineRule="auto"/>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其他因素评分标准</w:t>
            </w:r>
          </w:p>
          <w:p>
            <w:pPr>
              <w:pageBreakBefore w:val="0"/>
              <w:kinsoku/>
              <w:topLinePunct w:val="0"/>
              <w:autoSpaceDE w:val="0"/>
              <w:autoSpaceDN w:val="0"/>
              <w:bidi w:val="0"/>
              <w:adjustRightIn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en-US"/>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en-US"/>
              </w:rPr>
              <w:t>分</w:t>
            </w:r>
          </w:p>
        </w:tc>
        <w:tc>
          <w:tcPr>
            <w:tcW w:w="5306" w:type="dxa"/>
            <w:noWrap w:val="0"/>
            <w:vAlign w:val="center"/>
          </w:tcPr>
          <w:p>
            <w:pPr>
              <w:pageBreakBefore w:val="0"/>
              <w:kinsoku/>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rPr>
              <w:t>报价单位在</w:t>
            </w:r>
            <w:r>
              <w:rPr>
                <w:rFonts w:hint="eastAsia" w:ascii="宋体" w:hAnsi="宋体" w:cs="宋体"/>
                <w:color w:val="auto"/>
                <w:kern w:val="0"/>
                <w:sz w:val="24"/>
                <w:highlight w:val="none"/>
                <w:lang w:val="en-US" w:eastAsia="zh-CN"/>
              </w:rPr>
              <w:t>服务、配合服务</w:t>
            </w:r>
            <w:r>
              <w:rPr>
                <w:rFonts w:hint="eastAsia" w:ascii="宋体" w:hAnsi="宋体" w:cs="宋体"/>
                <w:color w:val="auto"/>
                <w:kern w:val="0"/>
                <w:sz w:val="24"/>
                <w:highlight w:val="none"/>
              </w:rPr>
              <w:t>上的相关承诺。（0-</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w:t>
            </w:r>
          </w:p>
        </w:tc>
        <w:tc>
          <w:tcPr>
            <w:tcW w:w="1707" w:type="dxa"/>
            <w:noWrap w:val="0"/>
            <w:vAlign w:val="top"/>
          </w:tcPr>
          <w:p>
            <w:pPr>
              <w:pStyle w:val="49"/>
              <w:tabs>
                <w:tab w:val="left" w:pos="540"/>
              </w:tabs>
              <w:spacing w:line="360" w:lineRule="auto"/>
              <w:ind w:firstLine="480" w:firstLineChars="200"/>
              <w:jc w:val="both"/>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0-</w:t>
            </w:r>
            <w:r>
              <w:rPr>
                <w:rFonts w:hint="eastAsia" w:hAnsi="宋体" w:cs="宋体"/>
                <w:color w:val="auto"/>
                <w:highlight w:val="none"/>
                <w:lang w:val="en-US" w:eastAsia="zh-CN"/>
              </w:rPr>
              <w:t>10</w:t>
            </w:r>
            <w:r>
              <w:rPr>
                <w:rFonts w:hint="eastAsia" w:ascii="宋体" w:hAnsi="宋体" w:eastAsia="宋体" w:cs="宋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6" w:type="dxa"/>
            <w:gridSpan w:val="3"/>
            <w:noWrap w:val="0"/>
            <w:vAlign w:val="top"/>
          </w:tcPr>
          <w:p>
            <w:pPr>
              <w:pageBreakBefore w:val="0"/>
              <w:kinsoku/>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1．评委在评分办法规定的分值范围内打分，超出范围的，评分无效。</w:t>
            </w:r>
          </w:p>
          <w:p>
            <w:pPr>
              <w:pageBreakBefore w:val="0"/>
              <w:kinsoku/>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2．响应人综合得分﹦企业综合实力得分+方案评审得分+响应报价评分+其他因素评分得分。</w:t>
            </w:r>
          </w:p>
          <w:p>
            <w:pPr>
              <w:pageBreakBefore w:val="0"/>
              <w:kinsoku/>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3．本办法计算过程中分值按四舍五入保留三位小数，结果按四舍五入保留两位小数。所有评委的算术平均值即为该响应人的最终得分</w:t>
            </w:r>
            <w:r>
              <w:rPr>
                <w:rFonts w:hint="eastAsia" w:ascii="宋体" w:hAnsi="宋体" w:cs="宋体"/>
                <w:color w:val="auto"/>
                <w:kern w:val="0"/>
                <w:szCs w:val="21"/>
                <w:highlight w:val="none"/>
              </w:rPr>
              <w:t>。</w:t>
            </w:r>
          </w:p>
        </w:tc>
      </w:tr>
    </w:tbl>
    <w:p>
      <w:pPr>
        <w:pStyle w:val="49"/>
        <w:tabs>
          <w:tab w:val="left" w:pos="0"/>
        </w:tabs>
        <w:spacing w:line="360" w:lineRule="auto"/>
        <w:jc w:val="center"/>
        <w:outlineLvl w:val="0"/>
        <w:rPr>
          <w:rFonts w:hAnsi="宋体"/>
          <w:b/>
          <w:bCs/>
          <w:color w:val="auto"/>
          <w:sz w:val="24"/>
          <w:szCs w:val="24"/>
          <w:highlight w:val="none"/>
        </w:rPr>
      </w:pPr>
    </w:p>
    <w:bookmarkEnd w:id="13"/>
    <w:p>
      <w:pPr>
        <w:jc w:val="both"/>
        <w:rPr>
          <w:rFonts w:asciiTheme="minorEastAsia" w:hAnsiTheme="minorEastAsia" w:eastAsiaTheme="minorEastAsia"/>
          <w:bCs/>
          <w:color w:val="auto"/>
          <w:sz w:val="30"/>
          <w:szCs w:val="30"/>
          <w:highlight w:val="none"/>
          <w:shd w:val="clear" w:color="auto" w:fill="auto"/>
        </w:rPr>
      </w:pPr>
      <w:r>
        <w:rPr>
          <w:rFonts w:hint="eastAsia" w:asciiTheme="minorEastAsia" w:hAnsiTheme="minorEastAsia" w:eastAsiaTheme="minorEastAsia"/>
          <w:bCs/>
          <w:color w:val="auto"/>
          <w:sz w:val="30"/>
          <w:szCs w:val="30"/>
          <w:highlight w:val="none"/>
          <w:shd w:val="clear" w:color="auto" w:fill="auto"/>
        </w:rPr>
        <w:t xml:space="preserve">                         </w:t>
      </w:r>
    </w:p>
    <w:p>
      <w:pPr>
        <w:pStyle w:val="4"/>
        <w:bidi w:val="0"/>
        <w:jc w:val="center"/>
        <w:rPr>
          <w:rFonts w:hint="eastAsia"/>
          <w:color w:val="auto"/>
          <w:highlight w:val="none"/>
          <w:shd w:val="clear" w:color="auto" w:fill="auto"/>
        </w:rPr>
      </w:pPr>
    </w:p>
    <w:p>
      <w:pPr>
        <w:pStyle w:val="4"/>
        <w:bidi w:val="0"/>
        <w:jc w:val="center"/>
        <w:rPr>
          <w:rFonts w:hint="eastAsia"/>
          <w:color w:val="auto"/>
          <w:highlight w:val="none"/>
          <w:shd w:val="clear" w:color="auto" w:fill="auto"/>
        </w:rPr>
      </w:pPr>
    </w:p>
    <w:p>
      <w:pPr>
        <w:rPr>
          <w:rFonts w:hint="eastAsia"/>
          <w:color w:val="auto"/>
          <w:highlight w:val="none"/>
          <w:shd w:val="clear" w:color="auto" w:fill="auto"/>
        </w:rPr>
      </w:pPr>
    </w:p>
    <w:p>
      <w:pPr>
        <w:pStyle w:val="2"/>
        <w:rPr>
          <w:rFonts w:hint="eastAsia"/>
          <w:color w:val="auto"/>
          <w:highlight w:val="none"/>
          <w:shd w:val="clear" w:color="auto" w:fill="auto"/>
        </w:rPr>
      </w:pPr>
    </w:p>
    <w:p>
      <w:pPr>
        <w:pStyle w:val="3"/>
        <w:rPr>
          <w:rFonts w:hint="eastAsia"/>
          <w:color w:val="auto"/>
          <w:highlight w:val="none"/>
          <w:shd w:val="clear" w:color="auto" w:fill="auto"/>
        </w:rPr>
      </w:pPr>
    </w:p>
    <w:p>
      <w:pPr>
        <w:rPr>
          <w:rFonts w:hint="eastAsia"/>
          <w:color w:val="auto"/>
          <w:highlight w:val="none"/>
          <w:shd w:val="clear" w:color="auto" w:fill="auto"/>
        </w:rPr>
      </w:pPr>
    </w:p>
    <w:p>
      <w:pPr>
        <w:pStyle w:val="2"/>
        <w:rPr>
          <w:rFonts w:hint="eastAsia"/>
          <w:color w:val="auto"/>
          <w:highlight w:val="none"/>
          <w:shd w:val="clear" w:color="auto" w:fill="auto"/>
        </w:rPr>
      </w:pPr>
    </w:p>
    <w:p>
      <w:pPr>
        <w:pStyle w:val="3"/>
        <w:rPr>
          <w:rFonts w:hint="eastAsia"/>
          <w:color w:val="auto"/>
          <w:highlight w:val="none"/>
          <w:shd w:val="clear" w:color="auto" w:fill="auto"/>
        </w:rPr>
      </w:pPr>
    </w:p>
    <w:p>
      <w:pPr>
        <w:rPr>
          <w:rFonts w:hint="eastAsia"/>
          <w:color w:val="auto"/>
          <w:highlight w:val="none"/>
          <w:shd w:val="clear" w:color="auto" w:fill="auto"/>
        </w:rPr>
      </w:pPr>
    </w:p>
    <w:p>
      <w:pPr>
        <w:pStyle w:val="2"/>
        <w:rPr>
          <w:rFonts w:hint="eastAsia"/>
          <w:color w:val="auto"/>
          <w:highlight w:val="none"/>
          <w:shd w:val="clear" w:color="auto" w:fill="auto"/>
        </w:rPr>
      </w:pPr>
    </w:p>
    <w:p>
      <w:pPr>
        <w:pStyle w:val="3"/>
        <w:rPr>
          <w:rFonts w:hint="eastAsia"/>
          <w:color w:val="auto"/>
          <w:highlight w:val="none"/>
          <w:shd w:val="clear" w:color="auto" w:fill="auto"/>
        </w:rPr>
      </w:pPr>
    </w:p>
    <w:p>
      <w:pPr>
        <w:rPr>
          <w:rFonts w:hint="eastAsia"/>
          <w:color w:val="auto"/>
          <w:highlight w:val="none"/>
          <w:shd w:val="clear" w:color="auto" w:fill="auto"/>
        </w:rPr>
      </w:pPr>
    </w:p>
    <w:p>
      <w:pPr>
        <w:pStyle w:val="2"/>
        <w:rPr>
          <w:rFonts w:hint="eastAsia"/>
          <w:color w:val="auto"/>
          <w:highlight w:val="none"/>
          <w:shd w:val="clear" w:color="auto" w:fill="auto"/>
        </w:rPr>
      </w:pPr>
    </w:p>
    <w:p>
      <w:pPr>
        <w:pStyle w:val="3"/>
        <w:rPr>
          <w:rFonts w:hint="eastAsia"/>
          <w:color w:val="auto"/>
          <w:highlight w:val="none"/>
          <w:shd w:val="clear" w:color="auto" w:fill="auto"/>
        </w:rPr>
      </w:pPr>
    </w:p>
    <w:p>
      <w:pPr>
        <w:rPr>
          <w:rFonts w:hint="eastAsia"/>
          <w:color w:val="auto"/>
          <w:highlight w:val="none"/>
          <w:shd w:val="clear" w:color="auto" w:fill="auto"/>
        </w:rPr>
      </w:pPr>
    </w:p>
    <w:p>
      <w:pPr>
        <w:pStyle w:val="2"/>
        <w:rPr>
          <w:rFonts w:hint="eastAsia"/>
        </w:rPr>
      </w:pPr>
    </w:p>
    <w:p>
      <w:pPr>
        <w:pStyle w:val="2"/>
        <w:rPr>
          <w:rFonts w:hint="eastAsia"/>
          <w:color w:val="auto"/>
          <w:highlight w:val="none"/>
          <w:shd w:val="clear" w:color="auto" w:fill="auto"/>
        </w:rPr>
      </w:pPr>
    </w:p>
    <w:p>
      <w:pPr>
        <w:pStyle w:val="3"/>
        <w:rPr>
          <w:rFonts w:hint="eastAsia"/>
          <w:color w:val="auto"/>
          <w:highlight w:val="none"/>
          <w:shd w:val="clear" w:color="auto" w:fill="auto"/>
        </w:rPr>
      </w:pPr>
    </w:p>
    <w:p>
      <w:pPr>
        <w:rPr>
          <w:rFonts w:hint="eastAsia"/>
          <w:color w:val="auto"/>
          <w:highlight w:val="none"/>
          <w:shd w:val="clear" w:color="auto" w:fill="auto"/>
        </w:rPr>
      </w:pPr>
    </w:p>
    <w:p>
      <w:pPr>
        <w:pStyle w:val="2"/>
        <w:rPr>
          <w:rFonts w:hint="eastAsia"/>
          <w:color w:val="auto"/>
          <w:highlight w:val="none"/>
          <w:shd w:val="clear" w:color="auto" w:fill="auto"/>
        </w:rPr>
      </w:pPr>
    </w:p>
    <w:p>
      <w:pPr>
        <w:pStyle w:val="3"/>
        <w:rPr>
          <w:rFonts w:hint="eastAsia"/>
          <w:color w:val="auto"/>
          <w:highlight w:val="none"/>
          <w:shd w:val="clear" w:color="auto" w:fill="auto"/>
        </w:rPr>
      </w:pPr>
    </w:p>
    <w:p>
      <w:pPr>
        <w:rPr>
          <w:rFonts w:hint="eastAsia"/>
        </w:rPr>
      </w:pPr>
    </w:p>
    <w:p>
      <w:pPr>
        <w:pStyle w:val="4"/>
        <w:bidi w:val="0"/>
        <w:jc w:val="both"/>
        <w:rPr>
          <w:rFonts w:hint="eastAsia"/>
          <w:color w:val="auto"/>
          <w:highlight w:val="none"/>
          <w:shd w:val="clear" w:color="auto" w:fill="auto"/>
        </w:rPr>
      </w:pPr>
    </w:p>
    <w:p>
      <w:pPr>
        <w:pStyle w:val="4"/>
        <w:bidi w:val="0"/>
        <w:jc w:val="center"/>
        <w:rPr>
          <w:color w:val="auto"/>
          <w:highlight w:val="none"/>
          <w:shd w:val="clear" w:color="auto" w:fill="auto"/>
        </w:rPr>
      </w:pPr>
      <w:r>
        <w:rPr>
          <w:rFonts w:hint="eastAsia"/>
          <w:color w:val="auto"/>
          <w:highlight w:val="none"/>
          <w:shd w:val="clear" w:color="auto" w:fill="auto"/>
        </w:rPr>
        <w:t>第四章</w:t>
      </w:r>
      <w:r>
        <w:rPr>
          <w:rFonts w:hint="eastAsia"/>
          <w:color w:val="auto"/>
          <w:highlight w:val="none"/>
          <w:shd w:val="clear" w:color="auto" w:fill="auto"/>
          <w:lang w:val="en-US"/>
        </w:rPr>
        <w:t xml:space="preserve">  </w:t>
      </w:r>
      <w:r>
        <w:rPr>
          <w:rFonts w:hint="eastAsia"/>
          <w:color w:val="auto"/>
          <w:highlight w:val="none"/>
          <w:shd w:val="clear" w:color="auto" w:fill="auto"/>
        </w:rPr>
        <w:t>合同条款及格式</w:t>
      </w:r>
    </w:p>
    <w:bookmarkEnd w:id="14"/>
    <w:p>
      <w:pPr>
        <w:spacing w:line="300" w:lineRule="auto"/>
        <w:jc w:val="center"/>
        <w:rPr>
          <w:rFonts w:hint="eastAsia" w:cs="宋体"/>
          <w:b/>
          <w:bCs/>
          <w:color w:val="auto"/>
          <w:sz w:val="36"/>
          <w:szCs w:val="36"/>
          <w:highlight w:val="none"/>
          <w:shd w:val="clear" w:color="auto" w:fill="auto"/>
        </w:rPr>
      </w:pPr>
    </w:p>
    <w:p>
      <w:pPr>
        <w:pStyle w:val="2"/>
        <w:rPr>
          <w:rFonts w:hint="eastAsia"/>
          <w:color w:val="auto"/>
          <w:highlight w:val="none"/>
        </w:rPr>
      </w:pPr>
    </w:p>
    <w:p>
      <w:pPr>
        <w:spacing w:line="300" w:lineRule="auto"/>
        <w:jc w:val="center"/>
        <w:rPr>
          <w:b/>
          <w:color w:val="auto"/>
          <w:sz w:val="44"/>
          <w:szCs w:val="44"/>
          <w:highlight w:val="none"/>
        </w:rPr>
      </w:pPr>
      <w:r>
        <w:rPr>
          <w:rFonts w:hint="eastAsia"/>
          <w:b/>
          <w:color w:val="auto"/>
          <w:sz w:val="44"/>
          <w:szCs w:val="44"/>
          <w:highlight w:val="none"/>
        </w:rPr>
        <w:t>建设工程规划核实测绘技术服务合同</w:t>
      </w:r>
    </w:p>
    <w:p>
      <w:pPr>
        <w:spacing w:line="300" w:lineRule="auto"/>
        <w:jc w:val="center"/>
        <w:rPr>
          <w:b/>
          <w:color w:val="auto"/>
          <w:sz w:val="36"/>
          <w:szCs w:val="36"/>
          <w:highlight w:val="none"/>
        </w:rPr>
      </w:pPr>
    </w:p>
    <w:p>
      <w:pPr>
        <w:spacing w:line="300" w:lineRule="auto"/>
        <w:rPr>
          <w:rFonts w:hint="eastAsia" w:ascii="宋体" w:hAnsi="宋体"/>
          <w:bCs/>
          <w:color w:val="auto"/>
          <w:sz w:val="32"/>
          <w:szCs w:val="36"/>
          <w:highlight w:val="none"/>
          <w:u w:val="single"/>
        </w:rPr>
      </w:pPr>
      <w:r>
        <w:rPr>
          <w:rFonts w:hint="eastAsia"/>
          <w:bCs/>
          <w:color w:val="auto"/>
          <w:sz w:val="32"/>
          <w:szCs w:val="36"/>
          <w:highlight w:val="none"/>
        </w:rPr>
        <w:t xml:space="preserve">  </w:t>
      </w:r>
      <w:r>
        <w:rPr>
          <w:rFonts w:hint="eastAsia" w:ascii="宋体" w:hAnsi="宋体"/>
          <w:bCs/>
          <w:color w:val="auto"/>
          <w:sz w:val="32"/>
          <w:szCs w:val="36"/>
          <w:highlight w:val="none"/>
        </w:rPr>
        <w:t xml:space="preserve"> 工  程 名 称：</w:t>
      </w:r>
      <w:r>
        <w:rPr>
          <w:rFonts w:hint="eastAsia"/>
          <w:bCs/>
          <w:color w:val="auto"/>
          <w:sz w:val="28"/>
          <w:szCs w:val="28"/>
          <w:highlight w:val="none"/>
          <w:u w:val="single"/>
          <w:shd w:val="clear" w:color="auto" w:fill="auto"/>
          <w:lang w:eastAsia="zh-CN"/>
        </w:rPr>
        <w:t>郑州市石佛水厂改造工程-竣工规划核实、土地核验测绘</w:t>
      </w:r>
      <w:r>
        <w:rPr>
          <w:rFonts w:hint="eastAsia" w:ascii="宋体" w:hAnsi="宋体"/>
          <w:bCs/>
          <w:color w:val="auto"/>
          <w:sz w:val="32"/>
          <w:szCs w:val="36"/>
          <w:highlight w:val="none"/>
          <w:u w:val="single"/>
        </w:rPr>
        <w:t xml:space="preserve"> </w:t>
      </w:r>
    </w:p>
    <w:p>
      <w:pPr>
        <w:spacing w:line="300" w:lineRule="auto"/>
        <w:rPr>
          <w:rFonts w:ascii="宋体" w:hAnsi="宋体"/>
          <w:bCs/>
          <w:color w:val="auto"/>
          <w:sz w:val="32"/>
          <w:szCs w:val="36"/>
          <w:highlight w:val="none"/>
          <w:u w:val="single"/>
        </w:rPr>
      </w:pPr>
      <w:r>
        <w:rPr>
          <w:rFonts w:hint="eastAsia" w:ascii="宋体" w:hAnsi="宋体"/>
          <w:bCs/>
          <w:color w:val="auto"/>
          <w:sz w:val="32"/>
          <w:szCs w:val="36"/>
          <w:highlight w:val="none"/>
        </w:rPr>
        <w:t xml:space="preserve">   工  程 地 点： </w:t>
      </w:r>
      <w:r>
        <w:rPr>
          <w:rFonts w:hint="eastAsia" w:ascii="宋体" w:hAnsi="宋体"/>
          <w:bCs/>
          <w:color w:val="auto"/>
          <w:sz w:val="32"/>
          <w:szCs w:val="36"/>
          <w:highlight w:val="none"/>
          <w:u w:val="single"/>
        </w:rPr>
        <w:t xml:space="preserve">郑州市                   </w:t>
      </w:r>
    </w:p>
    <w:p>
      <w:pPr>
        <w:spacing w:line="300" w:lineRule="auto"/>
        <w:rPr>
          <w:rFonts w:ascii="宋体" w:hAnsi="宋体"/>
          <w:bCs/>
          <w:color w:val="auto"/>
          <w:sz w:val="32"/>
          <w:szCs w:val="36"/>
          <w:highlight w:val="none"/>
          <w:u w:val="single"/>
        </w:rPr>
      </w:pPr>
      <w:r>
        <w:rPr>
          <w:rFonts w:hint="eastAsia" w:ascii="宋体" w:hAnsi="宋体"/>
          <w:bCs/>
          <w:color w:val="auto"/>
          <w:sz w:val="32"/>
          <w:szCs w:val="36"/>
          <w:highlight w:val="none"/>
        </w:rPr>
        <w:t xml:space="preserve">   合  同 编 号：</w:t>
      </w:r>
      <w:r>
        <w:rPr>
          <w:rFonts w:hint="eastAsia" w:ascii="宋体" w:hAnsi="宋体"/>
          <w:bCs/>
          <w:color w:val="auto"/>
          <w:sz w:val="32"/>
          <w:szCs w:val="36"/>
          <w:highlight w:val="none"/>
          <w:u w:val="single"/>
        </w:rPr>
        <w:t xml:space="preserve">                          </w:t>
      </w:r>
    </w:p>
    <w:p>
      <w:pPr>
        <w:spacing w:line="300" w:lineRule="auto"/>
        <w:rPr>
          <w:rFonts w:ascii="宋体" w:hAnsi="宋体"/>
          <w:bCs/>
          <w:color w:val="auto"/>
          <w:sz w:val="32"/>
          <w:szCs w:val="36"/>
          <w:highlight w:val="none"/>
          <w:u w:val="single"/>
        </w:rPr>
      </w:pPr>
      <w:r>
        <w:rPr>
          <w:rFonts w:hint="eastAsia" w:ascii="宋体" w:hAnsi="宋体"/>
          <w:bCs/>
          <w:color w:val="auto"/>
          <w:sz w:val="32"/>
          <w:szCs w:val="36"/>
          <w:highlight w:val="none"/>
        </w:rPr>
        <w:t xml:space="preserve">   设计资质等级：</w:t>
      </w:r>
      <w:r>
        <w:rPr>
          <w:rFonts w:hint="eastAsia" w:ascii="宋体" w:hAnsi="宋体"/>
          <w:bCs/>
          <w:color w:val="auto"/>
          <w:sz w:val="32"/>
          <w:szCs w:val="36"/>
          <w:highlight w:val="none"/>
          <w:u w:val="single"/>
        </w:rPr>
        <w:t xml:space="preserve"> </w:t>
      </w:r>
      <w:r>
        <w:rPr>
          <w:rFonts w:hint="eastAsia" w:ascii="宋体" w:hAnsi="宋体"/>
          <w:bCs/>
          <w:color w:val="auto"/>
          <w:sz w:val="32"/>
          <w:szCs w:val="36"/>
          <w:highlight w:val="none"/>
          <w:u w:val="single"/>
          <w:lang w:val="en-US" w:eastAsia="zh-CN"/>
        </w:rPr>
        <w:t xml:space="preserve">    </w:t>
      </w:r>
      <w:r>
        <w:rPr>
          <w:rFonts w:hint="eastAsia" w:ascii="宋体" w:hAnsi="宋体"/>
          <w:bCs/>
          <w:color w:val="auto"/>
          <w:sz w:val="32"/>
          <w:szCs w:val="36"/>
          <w:highlight w:val="none"/>
          <w:u w:val="single"/>
        </w:rPr>
        <w:t xml:space="preserve">     </w:t>
      </w:r>
    </w:p>
    <w:p>
      <w:pPr>
        <w:spacing w:line="300" w:lineRule="auto"/>
        <w:jc w:val="left"/>
        <w:rPr>
          <w:rFonts w:ascii="宋体" w:hAnsi="宋体"/>
          <w:bCs/>
          <w:color w:val="auto"/>
          <w:sz w:val="32"/>
          <w:szCs w:val="36"/>
          <w:highlight w:val="none"/>
          <w:u w:val="single"/>
        </w:rPr>
      </w:pPr>
      <w:r>
        <w:rPr>
          <w:rFonts w:hint="eastAsia" w:ascii="宋体" w:hAnsi="宋体"/>
          <w:bCs/>
          <w:color w:val="auto"/>
          <w:sz w:val="32"/>
          <w:szCs w:val="36"/>
          <w:highlight w:val="none"/>
        </w:rPr>
        <w:t xml:space="preserve">   测绘资质等级：</w:t>
      </w:r>
      <w:r>
        <w:rPr>
          <w:rFonts w:hint="eastAsia" w:ascii="宋体" w:hAnsi="宋体"/>
          <w:bCs/>
          <w:color w:val="auto"/>
          <w:sz w:val="32"/>
          <w:szCs w:val="36"/>
          <w:highlight w:val="none"/>
          <w:u w:val="single"/>
        </w:rPr>
        <w:t xml:space="preserve">                      </w:t>
      </w:r>
    </w:p>
    <w:p>
      <w:pPr>
        <w:spacing w:line="300" w:lineRule="auto"/>
        <w:rPr>
          <w:rFonts w:hint="eastAsia" w:ascii="宋体" w:hAnsi="宋体"/>
          <w:bCs/>
          <w:color w:val="auto"/>
          <w:sz w:val="32"/>
          <w:szCs w:val="36"/>
          <w:highlight w:val="none"/>
        </w:rPr>
      </w:pPr>
      <w:r>
        <w:rPr>
          <w:rFonts w:hint="eastAsia" w:ascii="宋体" w:hAnsi="宋体"/>
          <w:bCs/>
          <w:color w:val="auto"/>
          <w:sz w:val="32"/>
          <w:szCs w:val="36"/>
          <w:highlight w:val="none"/>
        </w:rPr>
        <w:t xml:space="preserve">   委   托   人：</w:t>
      </w:r>
    </w:p>
    <w:p>
      <w:pPr>
        <w:spacing w:line="300" w:lineRule="auto"/>
        <w:rPr>
          <w:rFonts w:ascii="宋体" w:hAnsi="宋体"/>
          <w:bCs/>
          <w:color w:val="auto"/>
          <w:sz w:val="32"/>
          <w:szCs w:val="36"/>
          <w:highlight w:val="none"/>
        </w:rPr>
      </w:pPr>
      <w:r>
        <w:rPr>
          <w:rFonts w:hint="eastAsia" w:ascii="宋体" w:hAnsi="宋体"/>
          <w:bCs/>
          <w:color w:val="auto"/>
          <w:sz w:val="32"/>
          <w:szCs w:val="36"/>
          <w:highlight w:val="none"/>
        </w:rPr>
        <w:t xml:space="preserve">   承   揽   人：</w:t>
      </w:r>
    </w:p>
    <w:p>
      <w:pPr>
        <w:spacing w:line="300" w:lineRule="auto"/>
        <w:rPr>
          <w:rFonts w:ascii="宋体" w:hAnsi="宋体"/>
          <w:bCs/>
          <w:color w:val="auto"/>
          <w:sz w:val="32"/>
          <w:szCs w:val="36"/>
          <w:highlight w:val="none"/>
          <w:u w:val="single"/>
        </w:rPr>
      </w:pPr>
      <w:r>
        <w:rPr>
          <w:rFonts w:hint="eastAsia" w:ascii="宋体" w:hAnsi="宋体"/>
          <w:bCs/>
          <w:color w:val="auto"/>
          <w:sz w:val="32"/>
          <w:szCs w:val="36"/>
          <w:highlight w:val="none"/>
        </w:rPr>
        <w:t xml:space="preserve">   签  订 日 期：</w:t>
      </w:r>
      <w:r>
        <w:rPr>
          <w:rFonts w:hint="eastAsia" w:ascii="宋体" w:hAnsi="宋体"/>
          <w:bCs/>
          <w:color w:val="auto"/>
          <w:sz w:val="32"/>
          <w:szCs w:val="36"/>
          <w:highlight w:val="none"/>
          <w:u w:val="single"/>
        </w:rPr>
        <w:t xml:space="preserve">      年   月    日  </w:t>
      </w:r>
    </w:p>
    <w:p>
      <w:pPr>
        <w:spacing w:line="300" w:lineRule="auto"/>
        <w:jc w:val="center"/>
        <w:rPr>
          <w:rFonts w:ascii="宋体" w:hAnsi="宋体"/>
          <w:b/>
          <w:color w:val="auto"/>
          <w:sz w:val="36"/>
          <w:szCs w:val="36"/>
          <w:highlight w:val="none"/>
        </w:rPr>
      </w:pPr>
    </w:p>
    <w:p>
      <w:pPr>
        <w:spacing w:line="300" w:lineRule="auto"/>
        <w:rPr>
          <w:b/>
          <w:color w:val="auto"/>
          <w:sz w:val="36"/>
          <w:szCs w:val="36"/>
          <w:highlight w:val="none"/>
        </w:rPr>
      </w:pPr>
    </w:p>
    <w:p>
      <w:pPr>
        <w:spacing w:line="300" w:lineRule="auto"/>
        <w:rPr>
          <w:b/>
          <w:color w:val="auto"/>
          <w:sz w:val="36"/>
          <w:szCs w:val="36"/>
          <w:highlight w:val="none"/>
        </w:rPr>
      </w:pPr>
    </w:p>
    <w:p>
      <w:pPr>
        <w:pStyle w:val="2"/>
        <w:rPr>
          <w:color w:val="auto"/>
          <w:highlight w:val="none"/>
        </w:rPr>
      </w:pPr>
    </w:p>
    <w:p>
      <w:pPr>
        <w:spacing w:line="240" w:lineRule="atLeast"/>
        <w:jc w:val="center"/>
        <w:rPr>
          <w:bCs/>
          <w:color w:val="auto"/>
          <w:sz w:val="15"/>
          <w:szCs w:val="36"/>
          <w:highlight w:val="none"/>
        </w:rPr>
      </w:pPr>
      <w:r>
        <w:rPr>
          <w:rFonts w:hint="eastAsia"/>
          <w:bCs/>
          <w:color w:val="auto"/>
          <w:sz w:val="32"/>
          <w:szCs w:val="36"/>
          <w:highlight w:val="none"/>
        </w:rPr>
        <w:t>中华人民共和国建设部</w:t>
      </w:r>
    </w:p>
    <w:p>
      <w:pPr>
        <w:spacing w:line="240" w:lineRule="atLeast"/>
        <w:jc w:val="center"/>
        <w:rPr>
          <w:bCs/>
          <w:color w:val="auto"/>
          <w:sz w:val="15"/>
          <w:szCs w:val="36"/>
          <w:highlight w:val="none"/>
        </w:rPr>
      </w:pPr>
      <w:r>
        <w:rPr>
          <w:rFonts w:hint="eastAsia"/>
          <w:bCs/>
          <w:color w:val="auto"/>
          <w:sz w:val="15"/>
          <w:szCs w:val="36"/>
          <w:highlight w:val="none"/>
        </w:rPr>
        <w:t xml:space="preserve">                                                                 </w:t>
      </w:r>
      <w:r>
        <w:rPr>
          <w:rFonts w:hint="eastAsia"/>
          <w:bCs/>
          <w:color w:val="auto"/>
          <w:sz w:val="32"/>
          <w:szCs w:val="36"/>
          <w:highlight w:val="none"/>
        </w:rPr>
        <w:t>监制</w:t>
      </w:r>
    </w:p>
    <w:p>
      <w:pPr>
        <w:spacing w:line="240" w:lineRule="atLeast"/>
        <w:jc w:val="center"/>
        <w:rPr>
          <w:bCs/>
          <w:color w:val="auto"/>
          <w:sz w:val="15"/>
          <w:szCs w:val="36"/>
          <w:highlight w:val="none"/>
        </w:rPr>
      </w:pPr>
      <w:r>
        <w:rPr>
          <w:rFonts w:hint="eastAsia"/>
          <w:bCs/>
          <w:color w:val="auto"/>
          <w:sz w:val="32"/>
          <w:szCs w:val="36"/>
          <w:highlight w:val="none"/>
        </w:rPr>
        <w:t>国家工商行政管理局</w:t>
      </w:r>
    </w:p>
    <w:p>
      <w:pPr>
        <w:spacing w:line="300" w:lineRule="auto"/>
        <w:jc w:val="center"/>
        <w:rPr>
          <w:bCs/>
          <w:color w:val="auto"/>
          <w:sz w:val="28"/>
          <w:szCs w:val="36"/>
          <w:highlight w:val="none"/>
        </w:rPr>
      </w:pPr>
    </w:p>
    <w:p>
      <w:pPr>
        <w:pStyle w:val="2"/>
        <w:rPr>
          <w:bCs/>
          <w:color w:val="auto"/>
          <w:sz w:val="28"/>
          <w:szCs w:val="36"/>
          <w:highlight w:val="none"/>
        </w:rPr>
      </w:pPr>
    </w:p>
    <w:p>
      <w:pPr>
        <w:pStyle w:val="3"/>
        <w:rPr>
          <w:color w:val="auto"/>
          <w:highlight w:val="none"/>
        </w:rPr>
      </w:pPr>
    </w:p>
    <w:p>
      <w:pPr>
        <w:spacing w:line="300" w:lineRule="auto"/>
        <w:jc w:val="center"/>
        <w:rPr>
          <w:b/>
          <w:color w:val="auto"/>
          <w:sz w:val="36"/>
          <w:szCs w:val="36"/>
          <w:highlight w:val="none"/>
        </w:rPr>
      </w:pPr>
      <w:r>
        <w:rPr>
          <w:rFonts w:hint="eastAsia"/>
          <w:b/>
          <w:color w:val="auto"/>
          <w:sz w:val="36"/>
          <w:szCs w:val="36"/>
          <w:highlight w:val="none"/>
        </w:rPr>
        <w:t>建设工程规划核实</w:t>
      </w:r>
      <w:r>
        <w:rPr>
          <w:rFonts w:hint="eastAsia"/>
          <w:b/>
          <w:color w:val="auto"/>
          <w:sz w:val="36"/>
          <w:szCs w:val="36"/>
          <w:highlight w:val="none"/>
          <w:lang w:eastAsia="zh-CN"/>
        </w:rPr>
        <w:t>、</w:t>
      </w:r>
      <w:r>
        <w:rPr>
          <w:rFonts w:hint="eastAsia"/>
          <w:b/>
          <w:color w:val="auto"/>
          <w:sz w:val="36"/>
          <w:szCs w:val="36"/>
          <w:highlight w:val="none"/>
          <w:lang w:val="en-US" w:eastAsia="zh-CN"/>
        </w:rPr>
        <w:t>土地核验测绘</w:t>
      </w:r>
      <w:r>
        <w:rPr>
          <w:rFonts w:hint="eastAsia"/>
          <w:b/>
          <w:color w:val="auto"/>
          <w:sz w:val="36"/>
          <w:szCs w:val="36"/>
          <w:highlight w:val="none"/>
        </w:rPr>
        <w:t>技术服务合同</w:t>
      </w:r>
    </w:p>
    <w:p>
      <w:pPr>
        <w:spacing w:line="360" w:lineRule="auto"/>
        <w:rPr>
          <w:rFonts w:ascii="宋体" w:hAnsi="宋体"/>
          <w:color w:val="auto"/>
          <w:sz w:val="24"/>
          <w:highlight w:val="none"/>
          <w:u w:val="single"/>
        </w:rPr>
      </w:pPr>
      <w:r>
        <w:rPr>
          <w:rFonts w:hint="eastAsia" w:ascii="宋体" w:hAnsi="宋体"/>
          <w:color w:val="auto"/>
          <w:sz w:val="24"/>
          <w:highlight w:val="none"/>
        </w:rPr>
        <w:t>工程名称：</w:t>
      </w:r>
    </w:p>
    <w:p>
      <w:pPr>
        <w:spacing w:line="360" w:lineRule="auto"/>
        <w:rPr>
          <w:rFonts w:hint="eastAsia" w:ascii="宋体" w:hAnsi="宋体"/>
          <w:color w:val="auto"/>
          <w:sz w:val="24"/>
          <w:highlight w:val="none"/>
        </w:rPr>
      </w:pPr>
      <w:r>
        <w:rPr>
          <w:rFonts w:hint="eastAsia" w:ascii="宋体" w:hAnsi="宋体"/>
          <w:color w:val="auto"/>
          <w:sz w:val="24"/>
          <w:highlight w:val="none"/>
          <w:lang w:eastAsia="zh-CN"/>
        </w:rPr>
        <w:t>委托人</w:t>
      </w:r>
      <w:r>
        <w:rPr>
          <w:rFonts w:hint="eastAsia" w:ascii="宋体" w:hAnsi="宋体"/>
          <w:color w:val="auto"/>
          <w:sz w:val="24"/>
          <w:highlight w:val="none"/>
        </w:rPr>
        <w:t>（甲方）：</w:t>
      </w:r>
    </w:p>
    <w:p>
      <w:pPr>
        <w:spacing w:line="360" w:lineRule="auto"/>
        <w:rPr>
          <w:rFonts w:hint="eastAsia" w:ascii="宋体" w:hAnsi="宋体"/>
          <w:color w:val="auto"/>
          <w:sz w:val="24"/>
          <w:highlight w:val="none"/>
        </w:rPr>
      </w:pPr>
      <w:r>
        <w:rPr>
          <w:rFonts w:hint="eastAsia" w:ascii="宋体" w:hAnsi="宋体"/>
          <w:color w:val="auto"/>
          <w:sz w:val="24"/>
          <w:highlight w:val="none"/>
        </w:rPr>
        <w:t>承揽人（乙方）：</w:t>
      </w:r>
    </w:p>
    <w:p>
      <w:pPr>
        <w:spacing w:line="360" w:lineRule="auto"/>
        <w:rPr>
          <w:color w:val="auto"/>
          <w:highlight w:val="none"/>
        </w:rPr>
      </w:pPr>
      <w:r>
        <w:rPr>
          <w:rFonts w:hint="eastAsia" w:ascii="宋体" w:hAnsi="宋体"/>
          <w:color w:val="auto"/>
          <w:sz w:val="24"/>
          <w:highlight w:val="none"/>
        </w:rPr>
        <w:t>签订地点：</w:t>
      </w:r>
      <w:r>
        <w:rPr>
          <w:rFonts w:hint="eastAsia" w:ascii="宋体" w:hAnsi="宋体"/>
          <w:color w:val="auto"/>
          <w:sz w:val="24"/>
          <w:highlight w:val="none"/>
          <w:u w:val="single"/>
        </w:rPr>
        <w:t>河南郑州</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olor w:val="auto"/>
          <w:sz w:val="24"/>
          <w:highlight w:val="none"/>
        </w:rPr>
      </w:pP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》、《中华人民共和国测绘法》、《中华人民共和国城乡规划法》和有关法律法规，经双方协商一致签订本合同。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工程名称及规模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highlight w:val="none"/>
          <w:lang w:val="en-US" w:eastAsia="zh-CN"/>
        </w:rPr>
        <w:t>工程名称：</w:t>
      </w:r>
      <w:r>
        <w:rPr>
          <w:rFonts w:hint="eastAsia" w:ascii="宋体" w:hAnsi="宋体" w:eastAsia="宋体" w:cs="Times New Roman"/>
          <w:color w:val="auto"/>
          <w:kern w:val="2"/>
          <w:sz w:val="24"/>
          <w:szCs w:val="24"/>
          <w:highlight w:val="none"/>
          <w:u w:val="single"/>
          <w:lang w:val="en-US" w:eastAsia="zh-CN" w:bidi="ar-SA"/>
        </w:rPr>
        <w:t>郑州市石佛水厂改造工程-竣工规划核实、土地核验测绘</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工程规模：总建筑面积</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kern w:val="2"/>
          <w:sz w:val="24"/>
          <w:szCs w:val="24"/>
          <w:highlight w:val="none"/>
          <w:lang w:val="en-US" w:eastAsia="zh-CN" w:bidi="ar-SA"/>
        </w:rPr>
        <w:t>平方米</w:t>
      </w:r>
      <w:r>
        <w:rPr>
          <w:rFonts w:hint="eastAsia" w:ascii="宋体" w:hAnsi="宋体" w:eastAsia="宋体" w:cs="宋体"/>
          <w:color w:val="auto"/>
          <w:kern w:val="2"/>
          <w:sz w:val="24"/>
          <w:szCs w:val="24"/>
          <w:highlight w:val="none"/>
          <w:u w:val="none"/>
          <w:lang w:val="en-US" w:eastAsia="zh-CN" w:bidi="ar-SA"/>
        </w:rPr>
        <w:t>，具体建筑面积详见后附件1。</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工作范围（包括地点等）：</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进行</w:t>
      </w:r>
      <w:r>
        <w:rPr>
          <w:rFonts w:hint="eastAsia" w:ascii="宋体" w:hAnsi="宋体"/>
          <w:color w:val="auto"/>
          <w:sz w:val="24"/>
          <w:highlight w:val="none"/>
          <w:lang w:val="en-US" w:eastAsia="zh-CN"/>
        </w:rPr>
        <w:t>竣工规划核实、土地核验</w:t>
      </w:r>
      <w:r>
        <w:rPr>
          <w:rFonts w:hint="eastAsia" w:ascii="宋体" w:hAnsi="宋体"/>
          <w:color w:val="auto"/>
          <w:sz w:val="24"/>
          <w:highlight w:val="none"/>
        </w:rPr>
        <w:t>测绘。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25"/>
        <w:textAlignment w:val="auto"/>
        <w:rPr>
          <w:rFonts w:hint="eastAsia" w:ascii="宋体" w:hAnsi="宋体" w:eastAsia="宋体" w:cs="Times New Roman"/>
          <w:color w:val="auto"/>
          <w:sz w:val="24"/>
          <w:highlight w:val="none"/>
          <w:lang w:val="en-US" w:eastAsia="zh-CN"/>
        </w:rPr>
      </w:pPr>
      <w:r>
        <w:rPr>
          <w:rFonts w:hint="eastAsia" w:ascii="宋体" w:hAnsi="宋体"/>
          <w:color w:val="auto"/>
          <w:sz w:val="24"/>
          <w:highlight w:val="none"/>
        </w:rPr>
        <w:t>工作内容（包括项目内容和工作量等）：依据建设工程规划许可证及报批的平面图对已建</w:t>
      </w:r>
      <w:r>
        <w:rPr>
          <w:rFonts w:hint="eastAsia" w:ascii="宋体" w:hAnsi="宋体"/>
          <w:color w:val="auto"/>
          <w:sz w:val="24"/>
          <w:highlight w:val="none"/>
          <w:lang w:val="en-US" w:eastAsia="zh-CN"/>
        </w:rPr>
        <w:t>工程</w:t>
      </w:r>
      <w:r>
        <w:rPr>
          <w:rFonts w:hint="eastAsia" w:ascii="宋体" w:hAnsi="宋体"/>
          <w:color w:val="auto"/>
          <w:sz w:val="24"/>
          <w:highlight w:val="none"/>
        </w:rPr>
        <w:t>进行</w:t>
      </w:r>
      <w:r>
        <w:rPr>
          <w:rFonts w:hint="eastAsia" w:ascii="宋体" w:hAnsi="宋体"/>
          <w:color w:val="auto"/>
          <w:sz w:val="24"/>
          <w:highlight w:val="none"/>
          <w:lang w:val="en-US" w:eastAsia="zh-CN"/>
        </w:rPr>
        <w:t>竣工规划核实、土地核验</w:t>
      </w:r>
      <w:r>
        <w:rPr>
          <w:rFonts w:hint="eastAsia" w:ascii="宋体" w:hAnsi="宋体"/>
          <w:color w:val="auto"/>
          <w:sz w:val="24"/>
          <w:highlight w:val="none"/>
        </w:rPr>
        <w:t>测绘，</w:t>
      </w:r>
      <w:r>
        <w:rPr>
          <w:rFonts w:hint="eastAsia" w:ascii="宋体" w:hAnsi="宋体"/>
          <w:color w:val="auto"/>
          <w:sz w:val="24"/>
          <w:highlight w:val="none"/>
          <w:lang w:val="en-US" w:eastAsia="zh-CN"/>
        </w:rPr>
        <w:t>出具相应的成果报告，且成果报告符合当地相关行政主管部门要求的标准和形式。具体内容为：核实主要技术经济指标，</w:t>
      </w:r>
      <w:r>
        <w:rPr>
          <w:rFonts w:hint="eastAsia" w:ascii="宋体" w:hAnsi="宋体"/>
          <w:color w:val="auto"/>
          <w:sz w:val="24"/>
          <w:highlight w:val="none"/>
        </w:rPr>
        <w:t>建筑物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构筑物</w:t>
      </w:r>
      <w:r>
        <w:rPr>
          <w:rFonts w:hint="eastAsia" w:ascii="宋体" w:hAnsi="宋体"/>
          <w:color w:val="auto"/>
          <w:sz w:val="24"/>
          <w:highlight w:val="none"/>
        </w:rPr>
        <w:t>使用性质、建设规模、平面位置、</w:t>
      </w:r>
      <w:r>
        <w:rPr>
          <w:rFonts w:hint="eastAsia" w:ascii="宋体" w:hAnsi="宋体"/>
          <w:color w:val="auto"/>
          <w:sz w:val="24"/>
          <w:highlight w:val="none"/>
          <w:lang w:val="en-US" w:eastAsia="zh-CN"/>
        </w:rPr>
        <w:t>水厂</w:t>
      </w:r>
      <w:r>
        <w:rPr>
          <w:rFonts w:hint="eastAsia" w:ascii="宋体" w:hAnsi="宋体"/>
          <w:color w:val="auto"/>
          <w:sz w:val="24"/>
          <w:highlight w:val="none"/>
        </w:rPr>
        <w:t>高程、层数、高度、建筑密度、容积率、到红线的退距、建筑物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构筑物</w:t>
      </w:r>
      <w:r>
        <w:rPr>
          <w:rFonts w:hint="eastAsia" w:ascii="宋体" w:hAnsi="宋体"/>
          <w:color w:val="auto"/>
          <w:sz w:val="24"/>
          <w:highlight w:val="none"/>
        </w:rPr>
        <w:t>的间距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面积等，规划要求拆除的建筑物及构筑物是否已经拆除，以及其他应当核实的内容</w:t>
      </w:r>
      <w:r>
        <w:rPr>
          <w:rFonts w:hint="eastAsia" w:ascii="宋体" w:hAnsi="宋体" w:eastAsia="宋体" w:cs="Times New Roman"/>
          <w:color w:val="auto"/>
          <w:sz w:val="24"/>
          <w:highlight w:val="none"/>
          <w:lang w:val="en-US" w:eastAsia="zh-CN"/>
        </w:rPr>
        <w:t>（主要包括绿地面积测量，机动车位复核，非机动车位面积测量等）</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 xml:space="preserve"> 执行技术标准： </w:t>
      </w:r>
    </w:p>
    <w:tbl>
      <w:tblPr>
        <w:tblStyle w:val="37"/>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200"/>
        <w:gridCol w:w="2504"/>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4200" w:type="dxa"/>
          </w:tcPr>
          <w:p>
            <w:pPr>
              <w:spacing w:line="360" w:lineRule="auto"/>
              <w:jc w:val="center"/>
              <w:rPr>
                <w:rFonts w:ascii="宋体" w:hAnsi="宋体"/>
                <w:color w:val="auto"/>
                <w:sz w:val="24"/>
                <w:highlight w:val="none"/>
              </w:rPr>
            </w:pPr>
            <w:r>
              <w:rPr>
                <w:rFonts w:hint="eastAsia" w:ascii="宋体" w:hAnsi="宋体"/>
                <w:color w:val="auto"/>
                <w:sz w:val="24"/>
                <w:highlight w:val="none"/>
              </w:rPr>
              <w:t>标准名称</w:t>
            </w:r>
          </w:p>
        </w:tc>
        <w:tc>
          <w:tcPr>
            <w:tcW w:w="2504" w:type="dxa"/>
          </w:tcPr>
          <w:p>
            <w:pPr>
              <w:spacing w:line="360" w:lineRule="auto"/>
              <w:jc w:val="center"/>
              <w:rPr>
                <w:rFonts w:ascii="宋体" w:hAnsi="宋体"/>
                <w:color w:val="auto"/>
                <w:sz w:val="24"/>
                <w:highlight w:val="none"/>
              </w:rPr>
            </w:pPr>
            <w:r>
              <w:rPr>
                <w:rFonts w:hint="eastAsia" w:ascii="宋体" w:hAnsi="宋体"/>
                <w:color w:val="auto"/>
                <w:sz w:val="24"/>
                <w:highlight w:val="none"/>
              </w:rPr>
              <w:t>标准代号</w:t>
            </w:r>
          </w:p>
        </w:tc>
        <w:tc>
          <w:tcPr>
            <w:tcW w:w="1909" w:type="dxa"/>
          </w:tcPr>
          <w:p>
            <w:pPr>
              <w:spacing w:line="360" w:lineRule="auto"/>
              <w:jc w:val="center"/>
              <w:rPr>
                <w:rFonts w:ascii="宋体" w:hAnsi="宋体"/>
                <w:color w:val="auto"/>
                <w:sz w:val="24"/>
                <w:highlight w:val="none"/>
              </w:rPr>
            </w:pPr>
            <w:r>
              <w:rPr>
                <w:rFonts w:hint="eastAsia" w:ascii="宋体" w:hAnsi="宋体"/>
                <w:color w:val="auto"/>
                <w:sz w:val="24"/>
                <w:highlight w:val="none"/>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rPr>
                <w:rFonts w:ascii="宋体" w:hAnsi="宋体"/>
                <w:color w:val="auto"/>
                <w:sz w:val="24"/>
                <w:highlight w:val="none"/>
              </w:rPr>
            </w:pPr>
            <w:r>
              <w:rPr>
                <w:rFonts w:hint="eastAsia" w:ascii="宋体" w:hAnsi="宋体"/>
                <w:color w:val="auto"/>
                <w:sz w:val="24"/>
                <w:highlight w:val="none"/>
              </w:rPr>
              <w:t>1</w:t>
            </w:r>
          </w:p>
        </w:tc>
        <w:tc>
          <w:tcPr>
            <w:tcW w:w="4200" w:type="dxa"/>
          </w:tcPr>
          <w:p>
            <w:pPr>
              <w:spacing w:line="360" w:lineRule="auto"/>
              <w:rPr>
                <w:rFonts w:ascii="宋体" w:hAnsi="宋体"/>
                <w:color w:val="auto"/>
                <w:sz w:val="24"/>
                <w:highlight w:val="none"/>
              </w:rPr>
            </w:pPr>
            <w:r>
              <w:rPr>
                <w:rFonts w:hint="eastAsia" w:ascii="宋体" w:hAnsi="宋体"/>
                <w:color w:val="auto"/>
                <w:sz w:val="24"/>
                <w:highlight w:val="none"/>
              </w:rPr>
              <w:t>城市测量规范</w:t>
            </w:r>
          </w:p>
        </w:tc>
        <w:tc>
          <w:tcPr>
            <w:tcW w:w="2504" w:type="dxa"/>
          </w:tcPr>
          <w:p>
            <w:pPr>
              <w:spacing w:line="360" w:lineRule="auto"/>
              <w:rPr>
                <w:rFonts w:ascii="宋体" w:hAnsi="宋体"/>
                <w:color w:val="auto"/>
                <w:sz w:val="24"/>
                <w:highlight w:val="none"/>
              </w:rPr>
            </w:pPr>
            <w:r>
              <w:rPr>
                <w:rFonts w:ascii="宋体" w:hAnsi="宋体"/>
                <w:color w:val="auto"/>
                <w:sz w:val="24"/>
                <w:highlight w:val="none"/>
              </w:rPr>
              <w:t>CJJ/T8-2011</w:t>
            </w:r>
          </w:p>
        </w:tc>
        <w:tc>
          <w:tcPr>
            <w:tcW w:w="1909"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rPr>
                <w:rFonts w:ascii="宋体" w:hAnsi="宋体"/>
                <w:color w:val="auto"/>
                <w:sz w:val="24"/>
                <w:highlight w:val="none"/>
              </w:rPr>
            </w:pPr>
            <w:r>
              <w:rPr>
                <w:rFonts w:hint="eastAsia" w:ascii="宋体" w:hAnsi="宋体"/>
                <w:color w:val="auto"/>
                <w:sz w:val="24"/>
                <w:highlight w:val="none"/>
              </w:rPr>
              <w:t>2</w:t>
            </w:r>
          </w:p>
        </w:tc>
        <w:tc>
          <w:tcPr>
            <w:tcW w:w="4200" w:type="dxa"/>
          </w:tcPr>
          <w:p>
            <w:pPr>
              <w:spacing w:line="360" w:lineRule="auto"/>
              <w:rPr>
                <w:rFonts w:ascii="宋体" w:hAnsi="宋体"/>
                <w:color w:val="auto"/>
                <w:sz w:val="24"/>
                <w:highlight w:val="none"/>
              </w:rPr>
            </w:pPr>
            <w:r>
              <w:rPr>
                <w:rFonts w:hint="eastAsia" w:ascii="宋体" w:hAnsi="宋体"/>
                <w:color w:val="auto"/>
                <w:sz w:val="24"/>
                <w:highlight w:val="none"/>
              </w:rPr>
              <w:t>工程测量规范</w:t>
            </w:r>
          </w:p>
        </w:tc>
        <w:tc>
          <w:tcPr>
            <w:tcW w:w="2504" w:type="dxa"/>
          </w:tcPr>
          <w:p>
            <w:pPr>
              <w:spacing w:line="360" w:lineRule="auto"/>
              <w:rPr>
                <w:rFonts w:ascii="宋体" w:hAnsi="宋体"/>
                <w:color w:val="auto"/>
                <w:sz w:val="24"/>
                <w:highlight w:val="none"/>
              </w:rPr>
            </w:pPr>
            <w:r>
              <w:rPr>
                <w:rFonts w:ascii="宋体" w:hAnsi="宋体"/>
                <w:color w:val="auto"/>
                <w:sz w:val="24"/>
                <w:highlight w:val="none"/>
              </w:rPr>
              <w:t>GB50026--2007</w:t>
            </w:r>
          </w:p>
        </w:tc>
        <w:tc>
          <w:tcPr>
            <w:tcW w:w="1909"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rPr>
                <w:rFonts w:ascii="宋体" w:hAnsi="宋体"/>
                <w:color w:val="auto"/>
                <w:sz w:val="24"/>
                <w:highlight w:val="none"/>
              </w:rPr>
            </w:pPr>
            <w:r>
              <w:rPr>
                <w:rFonts w:hint="eastAsia" w:ascii="宋体" w:hAnsi="宋体"/>
                <w:color w:val="auto"/>
                <w:sz w:val="24"/>
                <w:highlight w:val="none"/>
              </w:rPr>
              <w:t>3</w:t>
            </w:r>
          </w:p>
        </w:tc>
        <w:tc>
          <w:tcPr>
            <w:tcW w:w="4200" w:type="dxa"/>
          </w:tcPr>
          <w:p>
            <w:pPr>
              <w:spacing w:line="360" w:lineRule="auto"/>
              <w:rPr>
                <w:rFonts w:ascii="宋体" w:hAnsi="宋体"/>
                <w:color w:val="auto"/>
                <w:sz w:val="24"/>
                <w:highlight w:val="none"/>
              </w:rPr>
            </w:pPr>
            <w:r>
              <w:rPr>
                <w:rFonts w:hint="eastAsia" w:ascii="宋体" w:hAnsi="宋体"/>
                <w:color w:val="auto"/>
                <w:sz w:val="24"/>
                <w:highlight w:val="none"/>
              </w:rPr>
              <w:t>卫星定位城市测量技术规范</w:t>
            </w:r>
          </w:p>
        </w:tc>
        <w:tc>
          <w:tcPr>
            <w:tcW w:w="2504" w:type="dxa"/>
          </w:tcPr>
          <w:p>
            <w:pPr>
              <w:spacing w:line="360" w:lineRule="auto"/>
              <w:rPr>
                <w:rFonts w:ascii="宋体" w:hAnsi="宋体"/>
                <w:color w:val="auto"/>
                <w:sz w:val="24"/>
                <w:highlight w:val="none"/>
              </w:rPr>
            </w:pPr>
            <w:r>
              <w:rPr>
                <w:rFonts w:ascii="宋体" w:hAnsi="宋体"/>
                <w:color w:val="auto"/>
                <w:sz w:val="24"/>
                <w:highlight w:val="none"/>
              </w:rPr>
              <w:t>CJJ/T73-2010</w:t>
            </w:r>
          </w:p>
        </w:tc>
        <w:tc>
          <w:tcPr>
            <w:tcW w:w="1909"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rPr>
                <w:rFonts w:ascii="宋体" w:hAnsi="宋体"/>
                <w:color w:val="auto"/>
                <w:sz w:val="24"/>
                <w:highlight w:val="none"/>
              </w:rPr>
            </w:pPr>
            <w:r>
              <w:rPr>
                <w:rFonts w:hint="eastAsia" w:ascii="宋体" w:hAnsi="宋体"/>
                <w:color w:val="auto"/>
                <w:sz w:val="24"/>
                <w:highlight w:val="none"/>
              </w:rPr>
              <w:t>4</w:t>
            </w:r>
          </w:p>
        </w:tc>
        <w:tc>
          <w:tcPr>
            <w:tcW w:w="4200" w:type="dxa"/>
          </w:tcPr>
          <w:p>
            <w:pPr>
              <w:spacing w:line="360" w:lineRule="auto"/>
              <w:rPr>
                <w:rFonts w:ascii="宋体" w:hAnsi="宋体"/>
                <w:color w:val="auto"/>
                <w:sz w:val="24"/>
                <w:highlight w:val="none"/>
              </w:rPr>
            </w:pPr>
            <w:r>
              <w:rPr>
                <w:rFonts w:hint="eastAsia" w:ascii="宋体" w:hAnsi="宋体"/>
                <w:color w:val="auto"/>
                <w:sz w:val="24"/>
                <w:highlight w:val="none"/>
              </w:rPr>
              <w:t>1:500、1:1000、1:2000地形图图式</w:t>
            </w:r>
          </w:p>
        </w:tc>
        <w:tc>
          <w:tcPr>
            <w:tcW w:w="2504" w:type="dxa"/>
          </w:tcPr>
          <w:p>
            <w:pPr>
              <w:spacing w:line="360" w:lineRule="auto"/>
              <w:rPr>
                <w:rFonts w:ascii="宋体" w:hAnsi="宋体"/>
                <w:color w:val="auto"/>
                <w:sz w:val="24"/>
                <w:highlight w:val="none"/>
              </w:rPr>
            </w:pPr>
            <w:r>
              <w:rPr>
                <w:rFonts w:ascii="宋体" w:hAnsi="宋体"/>
                <w:color w:val="auto"/>
                <w:sz w:val="24"/>
                <w:highlight w:val="none"/>
              </w:rPr>
              <w:t>GB/T20257.1-2007</w:t>
            </w:r>
          </w:p>
        </w:tc>
        <w:tc>
          <w:tcPr>
            <w:tcW w:w="1909"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rPr>
                <w:rFonts w:ascii="宋体" w:hAnsi="宋体"/>
                <w:color w:val="auto"/>
                <w:sz w:val="24"/>
                <w:highlight w:val="none"/>
              </w:rPr>
            </w:pPr>
            <w:r>
              <w:rPr>
                <w:rFonts w:hint="eastAsia" w:ascii="宋体" w:hAnsi="宋体"/>
                <w:color w:val="auto"/>
                <w:sz w:val="24"/>
                <w:highlight w:val="none"/>
              </w:rPr>
              <w:t>5</w:t>
            </w:r>
          </w:p>
        </w:tc>
        <w:tc>
          <w:tcPr>
            <w:tcW w:w="4200" w:type="dxa"/>
          </w:tcPr>
          <w:p>
            <w:pPr>
              <w:spacing w:line="360" w:lineRule="auto"/>
              <w:rPr>
                <w:rFonts w:ascii="宋体" w:hAnsi="宋体"/>
                <w:color w:val="auto"/>
                <w:sz w:val="24"/>
                <w:highlight w:val="none"/>
              </w:rPr>
            </w:pPr>
            <w:r>
              <w:rPr>
                <w:rFonts w:hint="eastAsia" w:ascii="宋体" w:hAnsi="宋体"/>
                <w:color w:val="auto"/>
                <w:sz w:val="24"/>
                <w:highlight w:val="none"/>
              </w:rPr>
              <w:t>房产测量规范</w:t>
            </w:r>
          </w:p>
        </w:tc>
        <w:tc>
          <w:tcPr>
            <w:tcW w:w="2504" w:type="dxa"/>
          </w:tcPr>
          <w:p>
            <w:pPr>
              <w:spacing w:line="360" w:lineRule="auto"/>
              <w:rPr>
                <w:rFonts w:ascii="宋体" w:hAnsi="宋体"/>
                <w:color w:val="auto"/>
                <w:sz w:val="24"/>
                <w:highlight w:val="none"/>
              </w:rPr>
            </w:pPr>
            <w:r>
              <w:rPr>
                <w:rFonts w:hint="eastAsia" w:ascii="宋体" w:hAnsi="宋体"/>
                <w:color w:val="auto"/>
                <w:sz w:val="24"/>
                <w:highlight w:val="none"/>
              </w:rPr>
              <w:t>GB/T17986-2000</w:t>
            </w:r>
          </w:p>
        </w:tc>
        <w:tc>
          <w:tcPr>
            <w:tcW w:w="1909"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rPr>
                <w:rFonts w:ascii="宋体" w:hAnsi="宋体"/>
                <w:color w:val="auto"/>
                <w:sz w:val="24"/>
                <w:highlight w:val="none"/>
              </w:rPr>
            </w:pPr>
            <w:r>
              <w:rPr>
                <w:rFonts w:hint="eastAsia" w:ascii="宋体" w:hAnsi="宋体"/>
                <w:color w:val="auto"/>
                <w:sz w:val="24"/>
                <w:highlight w:val="none"/>
              </w:rPr>
              <w:t>6</w:t>
            </w:r>
          </w:p>
        </w:tc>
        <w:tc>
          <w:tcPr>
            <w:tcW w:w="4200" w:type="dxa"/>
          </w:tcPr>
          <w:p>
            <w:pPr>
              <w:spacing w:line="360" w:lineRule="auto"/>
              <w:rPr>
                <w:rFonts w:ascii="宋体" w:hAnsi="宋体"/>
                <w:color w:val="auto"/>
                <w:sz w:val="24"/>
                <w:highlight w:val="none"/>
              </w:rPr>
            </w:pPr>
            <w:r>
              <w:rPr>
                <w:rFonts w:hint="eastAsia" w:ascii="宋体" w:hAnsi="宋体"/>
                <w:color w:val="auto"/>
                <w:sz w:val="24"/>
                <w:highlight w:val="none"/>
              </w:rPr>
              <w:t>建筑工程建筑面积计算规范</w:t>
            </w:r>
          </w:p>
        </w:tc>
        <w:tc>
          <w:tcPr>
            <w:tcW w:w="2504" w:type="dxa"/>
          </w:tcPr>
          <w:p>
            <w:pPr>
              <w:spacing w:line="360" w:lineRule="auto"/>
              <w:rPr>
                <w:rFonts w:ascii="宋体" w:hAnsi="宋体"/>
                <w:color w:val="auto"/>
                <w:sz w:val="24"/>
                <w:highlight w:val="none"/>
              </w:rPr>
            </w:pPr>
            <w:r>
              <w:rPr>
                <w:rFonts w:hint="eastAsia" w:ascii="宋体" w:hAnsi="宋体"/>
                <w:color w:val="auto"/>
                <w:sz w:val="24"/>
                <w:highlight w:val="none"/>
              </w:rPr>
              <w:t>GB/T50353-2013</w:t>
            </w:r>
          </w:p>
        </w:tc>
        <w:tc>
          <w:tcPr>
            <w:tcW w:w="1909"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line="360" w:lineRule="auto"/>
              <w:rPr>
                <w:rFonts w:ascii="宋体" w:hAnsi="宋体"/>
                <w:color w:val="auto"/>
                <w:sz w:val="24"/>
                <w:highlight w:val="none"/>
              </w:rPr>
            </w:pPr>
            <w:r>
              <w:rPr>
                <w:rFonts w:hint="eastAsia" w:ascii="宋体" w:hAnsi="宋体"/>
                <w:color w:val="auto"/>
                <w:sz w:val="24"/>
                <w:highlight w:val="none"/>
              </w:rPr>
              <w:t>7</w:t>
            </w:r>
          </w:p>
        </w:tc>
        <w:tc>
          <w:tcPr>
            <w:tcW w:w="4200" w:type="dxa"/>
          </w:tcPr>
          <w:p>
            <w:pPr>
              <w:spacing w:line="360" w:lineRule="auto"/>
              <w:rPr>
                <w:rFonts w:ascii="宋体" w:hAnsi="宋体"/>
                <w:color w:val="auto"/>
                <w:sz w:val="24"/>
                <w:highlight w:val="none"/>
              </w:rPr>
            </w:pPr>
            <w:r>
              <w:rPr>
                <w:rFonts w:hint="eastAsia" w:ascii="宋体" w:hAnsi="宋体"/>
                <w:color w:val="auto"/>
                <w:sz w:val="24"/>
                <w:highlight w:val="none"/>
              </w:rPr>
              <w:t>郑州市城乡规划管理技术规定</w:t>
            </w:r>
          </w:p>
        </w:tc>
        <w:tc>
          <w:tcPr>
            <w:tcW w:w="2504" w:type="dxa"/>
          </w:tcPr>
          <w:p>
            <w:pPr>
              <w:spacing w:line="360" w:lineRule="auto"/>
              <w:rPr>
                <w:rFonts w:ascii="宋体" w:hAnsi="宋体"/>
                <w:color w:val="auto"/>
                <w:sz w:val="24"/>
                <w:highlight w:val="none"/>
              </w:rPr>
            </w:pPr>
            <w:r>
              <w:rPr>
                <w:rFonts w:hint="eastAsia" w:ascii="宋体" w:hAnsi="宋体"/>
                <w:color w:val="auto"/>
                <w:sz w:val="24"/>
                <w:highlight w:val="none"/>
              </w:rPr>
              <w:t>郑城规【2013】16号</w:t>
            </w:r>
          </w:p>
        </w:tc>
        <w:tc>
          <w:tcPr>
            <w:tcW w:w="1909" w:type="dxa"/>
          </w:tcPr>
          <w:p>
            <w:pPr>
              <w:spacing w:line="360" w:lineRule="auto"/>
              <w:rPr>
                <w:rFonts w:ascii="宋体" w:hAnsi="宋体"/>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u w:val="single"/>
        </w:rPr>
      </w:pPr>
      <w:r>
        <w:rPr>
          <w:rFonts w:hint="eastAsia" w:ascii="宋体" w:hAnsi="宋体"/>
          <w:color w:val="auto"/>
          <w:sz w:val="24"/>
          <w:highlight w:val="none"/>
        </w:rPr>
        <w:t>其他技术要求:</w:t>
      </w:r>
      <w:r>
        <w:rPr>
          <w:rFonts w:hint="eastAsia" w:ascii="宋体" w:hAnsi="宋体"/>
          <w:color w:val="auto"/>
          <w:sz w:val="24"/>
          <w:highlight w:val="none"/>
          <w:u w:val="single"/>
        </w:rPr>
        <w:t>其它有关技术规定。以上技术规范及要求中如有新的版本出台的，按最新的规定执行。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25"/>
        <w:textAlignment w:val="auto"/>
        <w:rPr>
          <w:rFonts w:hint="default" w:ascii="宋体" w:hAnsi="宋体"/>
          <w:color w:val="auto"/>
          <w:sz w:val="24"/>
          <w:highlight w:val="none"/>
          <w:lang w:val="en-US"/>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委托方向服务方提交的有关资料、文件及时间</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报批总图</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建设工程规划许可证核准建设工程明细表</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其他需要的资料</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时间：合同签订后10个工作日内，资料齐全后乙方进行场地工作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25"/>
        <w:textAlignment w:val="auto"/>
        <w:rPr>
          <w:rFonts w:hint="default" w:ascii="宋体" w:hAnsi="宋体"/>
          <w:color w:val="auto"/>
          <w:sz w:val="24"/>
          <w:highlight w:val="none"/>
          <w:lang w:val="en-US"/>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服务方向委托方交付的成果文件、份数、时间</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宋体" w:hAnsi="宋体"/>
          <w:color w:val="auto"/>
          <w:sz w:val="24"/>
          <w:highlight w:val="none"/>
          <w:lang w:val="en-US" w:eastAsia="zh-CN"/>
        </w:rPr>
        <w:t>各种测绘成果均一式两份,时间：</w:t>
      </w:r>
      <w:r>
        <w:rPr>
          <w:rFonts w:hint="eastAsia" w:ascii="宋体" w:hAnsi="宋体" w:cs="宋体"/>
          <w:color w:val="auto"/>
          <w:sz w:val="24"/>
          <w:highlight w:val="none"/>
          <w:u w:val="none"/>
          <w:shd w:val="clear" w:color="auto" w:fill="auto"/>
          <w:lang w:val="en-US" w:eastAsia="zh-CN"/>
        </w:rPr>
        <w:t>委托方任务下达之日起10个工作日内完成所有测绘工作且出具最终成果。</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费用及支付方式</w:t>
      </w:r>
    </w:p>
    <w:p>
      <w:pPr>
        <w:pStyle w:val="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依据国家关于测量相关的收费标准，本次规划核实分项单价表：</w:t>
      </w:r>
    </w:p>
    <w:tbl>
      <w:tblPr>
        <w:tblStyle w:val="3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5"/>
        <w:gridCol w:w="1395"/>
        <w:gridCol w:w="945"/>
        <w:gridCol w:w="1380"/>
        <w:gridCol w:w="133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1：500竣工图测量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建筑规划面积测量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13232.58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验测高程、高度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验测平面位置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bl>
    <w:p>
      <w:pPr>
        <w:pStyle w:val="3"/>
        <w:rPr>
          <w:rFonts w:hint="default"/>
          <w:color w:val="auto"/>
          <w:highlight w:val="none"/>
          <w:lang w:val="en-US"/>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color w:val="auto"/>
          <w:sz w:val="24"/>
          <w:highlight w:val="none"/>
          <w:lang w:val="en-US" w:eastAsia="zh-CN"/>
        </w:rPr>
      </w:pPr>
      <w:r>
        <w:rPr>
          <w:rFonts w:hint="eastAsia" w:ascii="宋体" w:hAnsi="宋体"/>
          <w:b/>
          <w:color w:val="auto"/>
          <w:sz w:val="24"/>
          <w:highlight w:val="none"/>
          <w:lang w:val="en-US" w:eastAsia="zh-CN"/>
        </w:rPr>
        <w:t>本项目总面积</w:t>
      </w:r>
      <w:r>
        <w:rPr>
          <w:rFonts w:hint="eastAsia" w:ascii="宋体" w:hAnsi="宋体"/>
          <w:b/>
          <w:bCs/>
          <w:color w:val="auto"/>
          <w:sz w:val="24"/>
          <w:highlight w:val="none"/>
          <w:lang w:val="en-US" w:eastAsia="zh-CN"/>
        </w:rPr>
        <w:t>为13232.58平方米，本项目</w:t>
      </w:r>
      <w:r>
        <w:rPr>
          <w:rFonts w:hint="eastAsia" w:ascii="宋体" w:hAnsi="宋体"/>
          <w:b/>
          <w:bCs/>
          <w:color w:val="auto"/>
          <w:sz w:val="24"/>
          <w:highlight w:val="none"/>
        </w:rPr>
        <w:t>规划核实</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土地核验测绘</w:t>
      </w:r>
      <w:r>
        <w:rPr>
          <w:rFonts w:hint="eastAsia" w:ascii="宋体" w:hAnsi="宋体"/>
          <w:b/>
          <w:bCs/>
          <w:color w:val="auto"/>
          <w:sz w:val="24"/>
          <w:highlight w:val="none"/>
        </w:rPr>
        <w:t>费</w:t>
      </w:r>
      <w:r>
        <w:rPr>
          <w:rFonts w:hint="eastAsia" w:ascii="宋体" w:hAnsi="宋体"/>
          <w:b/>
          <w:color w:val="auto"/>
          <w:sz w:val="24"/>
          <w:highlight w:val="none"/>
        </w:rPr>
        <w:t>共计</w:t>
      </w:r>
      <w:r>
        <w:rPr>
          <w:rFonts w:hint="default" w:ascii="Arial" w:hAnsi="Arial" w:cs="Arial"/>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lang w:val="en-US" w:eastAsia="zh-CN"/>
        </w:rPr>
        <w:t xml:space="preserve">大写 </w:t>
      </w:r>
      <w:r>
        <w:rPr>
          <w:rFonts w:hint="eastAsia" w:ascii="宋体" w:hAnsi="宋体"/>
          <w:b/>
          <w:color w:val="auto"/>
          <w:sz w:val="24"/>
          <w:highlight w:val="none"/>
          <w:u w:val="none"/>
        </w:rPr>
        <w:t>元整</w:t>
      </w:r>
      <w:r>
        <w:rPr>
          <w:rFonts w:hint="eastAsia" w:ascii="宋体" w:hAnsi="宋体"/>
          <w:b/>
          <w:color w:val="auto"/>
          <w:sz w:val="24"/>
          <w:highlight w:val="none"/>
          <w:u w:val="none"/>
          <w:lang w:val="en-US" w:eastAsia="zh-CN"/>
        </w:rPr>
        <w:t>）</w:t>
      </w:r>
      <w:r>
        <w:rPr>
          <w:rFonts w:hint="eastAsia" w:ascii="宋体" w:hAnsi="宋体"/>
          <w:b/>
          <w:color w:val="auto"/>
          <w:sz w:val="24"/>
          <w:highlight w:val="none"/>
          <w:u w:val="none"/>
          <w:lang w:eastAsia="zh-CN"/>
        </w:rPr>
        <w:t>。</w:t>
      </w:r>
      <w:r>
        <w:rPr>
          <w:rFonts w:hint="eastAsia" w:ascii="宋体" w:hAnsi="宋体"/>
          <w:b/>
          <w:color w:val="auto"/>
          <w:sz w:val="24"/>
          <w:highlight w:val="none"/>
          <w:u w:val="none"/>
          <w:lang w:val="en-US" w:eastAsia="zh-CN"/>
        </w:rPr>
        <w:t>其中税率%，不含税金额元，税额元，</w:t>
      </w:r>
      <w:r>
        <w:rPr>
          <w:rFonts w:hint="eastAsia" w:ascii="宋体" w:hAnsi="宋体" w:eastAsia="宋体" w:cs="宋体"/>
          <w:color w:val="auto"/>
          <w:sz w:val="24"/>
          <w:highlight w:val="none"/>
        </w:rPr>
        <w:t>若税率调整，不含</w:t>
      </w:r>
      <w:r>
        <w:rPr>
          <w:rFonts w:hint="eastAsia" w:ascii="宋体" w:hAnsi="宋体" w:eastAsia="宋体" w:cs="Times New Roman"/>
          <w:color w:val="auto"/>
          <w:sz w:val="24"/>
          <w:highlight w:val="none"/>
          <w:lang w:val="en-US" w:eastAsia="zh-CN"/>
        </w:rPr>
        <w:t>税价款保持不变，增值税率按国家规定执行。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合同采用固定综合单价且总价包干的方式（固定总价是指完成招标范围内图纸和清单项所有项目，若实际施工过程中未检测或只检测部分工程量则按照减少的工程量和合同单价进行扣除），除本合同中另有约定的情况以外，单价及工程量结算不再调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乙方已经充分预测了本合同价款可能涉及的所有风险，本合同单价在合同存续期间不因任何市场行情、国家政策、现场施工条件的变化而增加，如届时出现这种情况时视为乙方的价格让利优惠。</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费用含建筑竣工图测量、规划面积测量、绿地面积测量、非机动车位面积测量、机动车位复核、验测高程高度、验测平面位置。</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另外检测人员交通、差旅费、材料费、设施费、管理费、、检测器具费、利润、市场风险等一切风险费亦包含合同价款内。</w:t>
      </w:r>
    </w:p>
    <w:p>
      <w:pPr>
        <w:widowControl/>
        <w:spacing w:line="360" w:lineRule="auto"/>
        <w:ind w:firstLine="420"/>
        <w:jc w:val="left"/>
        <w:rPr>
          <w:rFonts w:hint="eastAsia" w:ascii="宋体" w:hAnsi="宋体" w:eastAsia="宋体" w:cs="宋体"/>
          <w:color w:val="auto"/>
          <w:sz w:val="24"/>
          <w:highlight w:val="none"/>
          <w:lang w:eastAsia="zh-CN"/>
        </w:rPr>
      </w:pPr>
      <w:r>
        <w:rPr>
          <w:rFonts w:hint="eastAsia" w:ascii="宋体" w:hAnsi="宋体"/>
          <w:b w:val="0"/>
          <w:bCs/>
          <w:color w:val="auto"/>
          <w:sz w:val="24"/>
          <w:highlight w:val="none"/>
        </w:rPr>
        <w:t>2、</w:t>
      </w:r>
      <w:r>
        <w:rPr>
          <w:rFonts w:hint="eastAsia" w:ascii="宋体" w:hAnsi="宋体"/>
          <w:b w:val="0"/>
          <w:bCs/>
          <w:color w:val="auto"/>
          <w:sz w:val="24"/>
          <w:highlight w:val="none"/>
          <w:lang w:val="en-US" w:eastAsia="zh-CN"/>
        </w:rPr>
        <w:t>付款方式：</w:t>
      </w:r>
      <w:r>
        <w:rPr>
          <w:rFonts w:hint="eastAsia" w:ascii="宋体" w:hAnsi="宋体" w:eastAsia="宋体" w:cs="宋体"/>
          <w:color w:val="auto"/>
          <w:sz w:val="24"/>
          <w:highlight w:val="none"/>
        </w:rPr>
        <w:t>乙方向甲方提供符合</w:t>
      </w:r>
      <w:r>
        <w:rPr>
          <w:rFonts w:hint="eastAsia" w:ascii="宋体" w:hAnsi="宋体" w:cs="宋体"/>
          <w:color w:val="auto"/>
          <w:sz w:val="24"/>
          <w:highlight w:val="none"/>
          <w:lang w:val="en-US" w:eastAsia="zh-CN"/>
        </w:rPr>
        <w:t>标准</w:t>
      </w:r>
      <w:r>
        <w:rPr>
          <w:rFonts w:hint="eastAsia" w:ascii="宋体" w:hAnsi="宋体" w:eastAsia="宋体" w:cs="宋体"/>
          <w:color w:val="auto"/>
          <w:sz w:val="24"/>
          <w:highlight w:val="none"/>
        </w:rPr>
        <w:t>规范要求</w:t>
      </w:r>
      <w:r>
        <w:rPr>
          <w:rFonts w:hint="eastAsia" w:ascii="宋体" w:hAnsi="宋体" w:cs="宋体"/>
          <w:color w:val="auto"/>
          <w:sz w:val="24"/>
          <w:highlight w:val="none"/>
          <w:lang w:eastAsia="zh-CN"/>
        </w:rPr>
        <w:t>、</w:t>
      </w:r>
      <w:r>
        <w:rPr>
          <w:rFonts w:hint="eastAsia" w:ascii="宋体" w:hAnsi="宋体"/>
          <w:color w:val="auto"/>
          <w:sz w:val="24"/>
          <w:highlight w:val="none"/>
          <w:lang w:val="en-US" w:eastAsia="zh-CN"/>
        </w:rPr>
        <w:t>符合当地相关行政主管部门要求</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规划核实、土地核验</w:t>
      </w:r>
      <w:r>
        <w:rPr>
          <w:rFonts w:hint="eastAsia" w:ascii="宋体" w:hAnsi="宋体" w:eastAsia="宋体" w:cs="宋体"/>
          <w:color w:val="auto"/>
          <w:sz w:val="24"/>
          <w:highlight w:val="none"/>
        </w:rPr>
        <w:t>测绘成果，</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rPr>
        <w:t>开具增值税普通发票后甲方一次付清全部费用</w:t>
      </w:r>
      <w:r>
        <w:rPr>
          <w:rFonts w:hint="eastAsia" w:ascii="宋体" w:hAnsi="宋体" w:cs="宋体"/>
          <w:color w:val="auto"/>
          <w:sz w:val="24"/>
          <w:highlight w:val="none"/>
          <w:lang w:eastAsia="zh-CN"/>
        </w:rPr>
        <w:t>。</w:t>
      </w:r>
    </w:p>
    <w:p>
      <w:pPr>
        <w:spacing w:line="360" w:lineRule="auto"/>
        <w:ind w:firstLine="480" w:firstLineChars="200"/>
        <w:rPr>
          <w:rFonts w:ascii="宋体" w:hAnsi="宋体"/>
          <w:b/>
          <w:color w:val="auto"/>
          <w:sz w:val="24"/>
          <w:highlight w:val="none"/>
        </w:rPr>
      </w:pPr>
      <w:r>
        <w:rPr>
          <w:rFonts w:hint="eastAsia" w:ascii="宋体" w:hAnsi="宋体" w:cs="宋体"/>
          <w:color w:val="auto"/>
          <w:sz w:val="24"/>
          <w:highlight w:val="none"/>
        </w:rPr>
        <w:t>甲方支付相关款项前，乙方应开具相应的足额有效增值税普通发票，否则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有权拒绝付款</w:t>
      </w:r>
      <w:r>
        <w:rPr>
          <w:rFonts w:hint="eastAsia" w:ascii="宋体" w:hAnsi="宋体" w:cs="宋体"/>
          <w:color w:val="auto"/>
          <w:sz w:val="24"/>
          <w:highlight w:val="none"/>
          <w:lang w:val="en-US" w:eastAsia="zh-CN"/>
        </w:rPr>
        <w:t>且不承担任何违约责任</w:t>
      </w:r>
      <w:r>
        <w:rPr>
          <w:rFonts w:hint="eastAsia" w:ascii="宋体" w:hAnsi="宋体" w:cs="宋体"/>
          <w:color w:val="auto"/>
          <w:sz w:val="24"/>
          <w:highlight w:val="none"/>
        </w:rPr>
        <w:t>。</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甲方的义务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1．自合同签订之日起，甲方委托乙方进行建设项目规划核实，并</w:t>
      </w:r>
      <w:r>
        <w:rPr>
          <w:rFonts w:hint="eastAsia" w:ascii="宋体" w:hAnsi="宋体"/>
          <w:color w:val="auto"/>
          <w:sz w:val="24"/>
          <w:highlight w:val="none"/>
          <w:lang w:val="en-US" w:eastAsia="zh-CN"/>
        </w:rPr>
        <w:t>应</w:t>
      </w:r>
      <w:r>
        <w:rPr>
          <w:rFonts w:hint="eastAsia" w:ascii="宋体" w:hAnsi="宋体"/>
          <w:color w:val="auto"/>
          <w:sz w:val="24"/>
          <w:highlight w:val="none"/>
        </w:rPr>
        <w:t>向乙方提交有关资料。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甲方委托规划核实任务时，须提供建设用地批文及红线图（复印件）、经规划审批的建筑设计总平面图(含建筑设计方案批复)（复印件）、经规划审批的建筑分层图及更改图（复印件）、建设工程规划许可证及附件和附图（复印件）、建设用地规划许可证（复印件）等相关资料。</w:t>
      </w:r>
    </w:p>
    <w:p>
      <w:pPr>
        <w:pStyle w:val="20"/>
        <w:spacing w:line="360" w:lineRule="auto"/>
        <w:ind w:firstLine="480" w:firstLineChars="200"/>
        <w:rPr>
          <w:rFonts w:hAnsi="宋体" w:cs="宋体"/>
          <w:color w:val="auto"/>
          <w:sz w:val="24"/>
          <w:szCs w:val="24"/>
          <w:highlight w:val="none"/>
        </w:rPr>
      </w:pPr>
      <w:r>
        <w:rPr>
          <w:rFonts w:hint="eastAsia" w:hAnsi="宋体"/>
          <w:color w:val="auto"/>
          <w:sz w:val="24"/>
          <w:szCs w:val="24"/>
          <w:highlight w:val="none"/>
        </w:rPr>
        <w:t>3．应当保证乙方的测绘核实人员顺利进入现场工作，并及时为乙方协调解决测绘现场的</w:t>
      </w:r>
      <w:r>
        <w:rPr>
          <w:rFonts w:hint="eastAsia" w:hAnsi="宋体" w:cs="宋体"/>
          <w:color w:val="auto"/>
          <w:sz w:val="24"/>
          <w:szCs w:val="24"/>
          <w:highlight w:val="none"/>
        </w:rPr>
        <w:t>工作条件和出现的问题。</w:t>
      </w:r>
    </w:p>
    <w:p>
      <w:pPr>
        <w:numPr>
          <w:ilvl w:val="0"/>
          <w:numId w:val="2"/>
        </w:numPr>
        <w:spacing w:line="360" w:lineRule="auto"/>
        <w:ind w:left="0" w:firstLine="420"/>
        <w:rPr>
          <w:rFonts w:ascii="宋体" w:hAnsi="宋体"/>
          <w:color w:val="auto"/>
          <w:sz w:val="24"/>
          <w:highlight w:val="none"/>
        </w:rPr>
      </w:pPr>
      <w:r>
        <w:rPr>
          <w:rFonts w:hint="eastAsia" w:ascii="宋体" w:hAnsi="宋体"/>
          <w:color w:val="auto"/>
          <w:sz w:val="24"/>
          <w:highlight w:val="none"/>
        </w:rPr>
        <w:t xml:space="preserve"> 乙方的义务</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ascii="宋体" w:hAnsi="宋体" w:cs="宋体"/>
          <w:color w:val="auto"/>
          <w:sz w:val="24"/>
          <w:highlight w:val="none"/>
          <w:u w:val="none"/>
          <w:shd w:val="clear" w:color="auto" w:fill="auto"/>
          <w:lang w:val="en-US" w:eastAsia="zh-CN"/>
        </w:rPr>
        <w:t>竣工规划核实、土地核验任务下达之日起10个工作日内完成所有测绘工作且出具最终成果。</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2.乙方应当按国家技术规范、标准、规程和《郑州市城乡规划局建设工程测绘管理规定》进行测绘，乙方应按规定的时间提交质量合格的现场核实成果，并对规划核实成果的真实性、准确性负责。</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3.乙方不得将本合同标的的全部或部分转包给第三方。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4.乙方须维护甲方的基础资料及测绘成果，乙方未取得甲方同意不得使用，并不得将 成果以任何形式转让或泄露给第三方。 </w:t>
      </w:r>
    </w:p>
    <w:p>
      <w:pPr>
        <w:numPr>
          <w:ilvl w:val="0"/>
          <w:numId w:val="2"/>
        </w:numPr>
        <w:spacing w:line="360" w:lineRule="auto"/>
        <w:ind w:left="0" w:firstLine="525"/>
        <w:rPr>
          <w:rFonts w:ascii="宋体" w:hAnsi="宋体"/>
          <w:color w:val="auto"/>
          <w:sz w:val="24"/>
          <w:highlight w:val="none"/>
          <w:u w:val="single"/>
        </w:rPr>
      </w:pPr>
      <w:r>
        <w:rPr>
          <w:rFonts w:hint="eastAsia" w:ascii="宋体" w:hAnsi="宋体"/>
          <w:color w:val="auto"/>
          <w:sz w:val="24"/>
          <w:highlight w:val="none"/>
        </w:rPr>
        <w:t>对乙方规划核实成果的所有权、使用权和著作权归属的约定:</w:t>
      </w:r>
      <w:r>
        <w:rPr>
          <w:rFonts w:hint="eastAsia" w:ascii="宋体" w:hAnsi="宋体"/>
          <w:color w:val="auto"/>
          <w:sz w:val="24"/>
          <w:highlight w:val="none"/>
          <w:u w:val="single"/>
        </w:rPr>
        <w:t>规划核实成果的所有权、 使用权和著作权归甲方所有。</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 xml:space="preserve"> 规划核实完成后，乙方应在规定时间内，根据要求向甲方交付全部规划核实成果，未经甲方允许，不得将成果以任何形式转让或泄露给第三方。乙方向甲方交付约定的规划成果</w:t>
      </w:r>
      <w:r>
        <w:rPr>
          <w:rFonts w:hint="eastAsia" w:ascii="宋体" w:hAnsi="宋体"/>
          <w:color w:val="auto"/>
          <w:sz w:val="24"/>
          <w:highlight w:val="none"/>
          <w:u w:val="single"/>
        </w:rPr>
        <w:t>三</w:t>
      </w:r>
      <w:r>
        <w:rPr>
          <w:rFonts w:hint="eastAsia" w:ascii="宋体" w:hAnsi="宋体"/>
          <w:color w:val="auto"/>
          <w:sz w:val="24"/>
          <w:highlight w:val="none"/>
        </w:rPr>
        <w:t>份。</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 xml:space="preserve"> 甲方违约责任</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 .合同签订后，由于甲方工程停止而终止合同的，甲方应按</w:t>
      </w:r>
      <w:r>
        <w:rPr>
          <w:rFonts w:hint="eastAsia" w:hAnsi="宋体" w:cs="宋体"/>
          <w:color w:val="auto"/>
          <w:sz w:val="24"/>
          <w:szCs w:val="24"/>
          <w:highlight w:val="none"/>
          <w:lang w:val="en-US" w:eastAsia="zh-CN"/>
        </w:rPr>
        <w:t>甲方认可的乙方</w:t>
      </w:r>
      <w:r>
        <w:rPr>
          <w:rFonts w:hint="eastAsia" w:hAnsi="宋体" w:cs="宋体"/>
          <w:color w:val="auto"/>
          <w:sz w:val="24"/>
          <w:szCs w:val="24"/>
          <w:highlight w:val="none"/>
        </w:rPr>
        <w:t>完成的实际工作量支付工程价款。</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 .乙方进场后，甲方未给乙方提供必要的工作条件而造成停窝工时，工期顺延。</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3.甲方</w:t>
      </w:r>
      <w:r>
        <w:rPr>
          <w:rFonts w:hint="eastAsia" w:hAnsi="宋体" w:cs="宋体"/>
          <w:color w:val="auto"/>
          <w:sz w:val="24"/>
          <w:szCs w:val="24"/>
          <w:highlight w:val="none"/>
          <w:lang w:val="en-US" w:eastAsia="zh-CN"/>
        </w:rPr>
        <w:t>无正当理由</w:t>
      </w:r>
      <w:r>
        <w:rPr>
          <w:rFonts w:hint="eastAsia" w:hAnsi="宋体" w:cs="宋体"/>
          <w:color w:val="auto"/>
          <w:sz w:val="24"/>
          <w:szCs w:val="24"/>
          <w:highlight w:val="none"/>
        </w:rPr>
        <w:t>未按要求支付乙方规划核实</w:t>
      </w:r>
      <w:r>
        <w:rPr>
          <w:rFonts w:hint="eastAsia" w:hAnsi="宋体" w:cs="宋体"/>
          <w:color w:val="auto"/>
          <w:sz w:val="24"/>
          <w:szCs w:val="24"/>
          <w:highlight w:val="none"/>
          <w:lang w:val="en-US" w:eastAsia="zh-CN"/>
        </w:rPr>
        <w:t>测绘</w:t>
      </w:r>
      <w:r>
        <w:rPr>
          <w:rFonts w:hint="eastAsia" w:hAnsi="宋体" w:cs="宋体"/>
          <w:color w:val="auto"/>
          <w:sz w:val="24"/>
          <w:szCs w:val="24"/>
          <w:highlight w:val="none"/>
        </w:rPr>
        <w:t>费</w:t>
      </w:r>
      <w:r>
        <w:rPr>
          <w:rFonts w:hint="eastAsia" w:hAnsi="宋体" w:cs="宋体"/>
          <w:color w:val="auto"/>
          <w:sz w:val="24"/>
          <w:szCs w:val="24"/>
          <w:highlight w:val="none"/>
          <w:lang w:val="en-US" w:eastAsia="zh-CN"/>
        </w:rPr>
        <w:t>用</w:t>
      </w:r>
      <w:r>
        <w:rPr>
          <w:rFonts w:hint="eastAsia" w:hAnsi="宋体" w:cs="宋体"/>
          <w:color w:val="auto"/>
          <w:sz w:val="24"/>
          <w:szCs w:val="24"/>
          <w:highlight w:val="none"/>
        </w:rPr>
        <w:t>，影响工程进度的，甲方应承担顺延工期的责任。</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乙方违约责任</w:t>
      </w:r>
    </w:p>
    <w:p>
      <w:pPr>
        <w:pStyle w:val="20"/>
        <w:spacing w:line="360" w:lineRule="auto"/>
        <w:ind w:firstLine="523" w:firstLineChars="218"/>
        <w:rPr>
          <w:rFonts w:hAnsi="宋体" w:cs="宋体"/>
          <w:color w:val="auto"/>
          <w:sz w:val="24"/>
          <w:szCs w:val="24"/>
          <w:highlight w:val="none"/>
        </w:rPr>
      </w:pPr>
      <w:r>
        <w:rPr>
          <w:rFonts w:hint="eastAsia" w:hAnsi="宋体" w:cs="宋体"/>
          <w:color w:val="auto"/>
          <w:sz w:val="24"/>
          <w:szCs w:val="24"/>
          <w:highlight w:val="none"/>
        </w:rPr>
        <w:t>1. 合同签订后，如乙方擅自中途停止或解除合同，乙方向甲方赔偿</w:t>
      </w:r>
      <w:r>
        <w:rPr>
          <w:rFonts w:hint="eastAsia" w:hAnsi="宋体" w:cs="宋体"/>
          <w:color w:val="auto"/>
          <w:sz w:val="24"/>
          <w:szCs w:val="24"/>
          <w:highlight w:val="none"/>
          <w:lang w:val="en-US" w:eastAsia="zh-CN"/>
        </w:rPr>
        <w:t>合同价</w:t>
      </w:r>
      <w:r>
        <w:rPr>
          <w:rFonts w:hint="eastAsia" w:hAnsi="宋体" w:cs="宋体"/>
          <w:color w:val="auto"/>
          <w:sz w:val="24"/>
          <w:szCs w:val="24"/>
          <w:highlight w:val="none"/>
        </w:rPr>
        <w:t>的</w:t>
      </w:r>
      <w:r>
        <w:rPr>
          <w:rFonts w:hint="eastAsia" w:hAnsi="宋体" w:cs="宋体"/>
          <w:color w:val="auto"/>
          <w:sz w:val="24"/>
          <w:szCs w:val="24"/>
          <w:highlight w:val="none"/>
          <w:u w:val="single"/>
        </w:rPr>
        <w:t>20%</w:t>
      </w:r>
      <w:r>
        <w:rPr>
          <w:rFonts w:hint="eastAsia" w:hAnsi="宋体" w:cs="宋体"/>
          <w:color w:val="auto"/>
          <w:sz w:val="24"/>
          <w:szCs w:val="24"/>
          <w:highlight w:val="none"/>
        </w:rPr>
        <w:t>。</w:t>
      </w:r>
    </w:p>
    <w:p>
      <w:pPr>
        <w:pStyle w:val="2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 在甲方提供了必要的工作条件，乙方未能按合同规定的日期提交成果时，应向甲方提出书面延期申请，若甲方未书面同意延期，乙方每延期提交成果一日，按照合同</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总价的</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%向甲方支付违约金，延期超过</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日，甲方有权解除合同且不支付任何费用;因不可抗力或甲方提供的资料不准确等影响规划核实作业的客观原因造成的工程拖期，乙方不承担赔偿责任。</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 .乙方提供的成果质量不合格的，乙方应负责无偿予以重做或采取补救措施，以达到质量要求。因成果质量不符合合同要求(而又非甲方原因所致)造成后果时，甲方有权解除合同。</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 对于甲方提供的图纸和技术资料以及属于甲方的测绘成果，乙方有保密义务，不得向第三人转让，也不得自行申报奖项，否则，甲方有权解除合同，并保留进一步追责的 权力。</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5. 乙方擅自转包本合同标的的，甲方有权解除合同。 </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 乙方如有违法提供虚假测绘成果，隐瞒建设单位违法建设行为或测绘成果不真实、不准确的，一经查实，甲方有权解除合同，造成严重后果的，乙方承担</w:t>
      </w:r>
      <w:r>
        <w:rPr>
          <w:rFonts w:hint="eastAsia" w:hAnsi="宋体" w:cs="宋体"/>
          <w:color w:val="auto"/>
          <w:sz w:val="24"/>
          <w:szCs w:val="24"/>
          <w:highlight w:val="none"/>
          <w:lang w:val="en-US" w:eastAsia="zh-CN"/>
        </w:rPr>
        <w:t>给甲方造成的一切经济损失及相应法律责任</w:t>
      </w:r>
      <w:r>
        <w:rPr>
          <w:rFonts w:hint="eastAsia" w:hAnsi="宋体" w:cs="宋体"/>
          <w:color w:val="auto"/>
          <w:sz w:val="24"/>
          <w:szCs w:val="24"/>
          <w:highlight w:val="none"/>
        </w:rPr>
        <w:t>。</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由于不可抗力，致使合同无法履行时，双方应按有关法律规定及时协商处理。</w:t>
      </w:r>
    </w:p>
    <w:p>
      <w:pPr>
        <w:numPr>
          <w:ilvl w:val="0"/>
          <w:numId w:val="2"/>
        </w:numPr>
        <w:spacing w:line="360" w:lineRule="auto"/>
        <w:ind w:left="0" w:firstLine="525"/>
        <w:rPr>
          <w:rFonts w:ascii="宋体" w:hAnsi="宋体"/>
          <w:color w:val="auto"/>
          <w:sz w:val="24"/>
          <w:highlight w:val="none"/>
        </w:rPr>
      </w:pPr>
      <w:r>
        <w:rPr>
          <w:rFonts w:hint="eastAsia" w:ascii="宋体" w:hAnsi="宋体" w:cs="宋体"/>
          <w:color w:val="auto"/>
          <w:sz w:val="24"/>
          <w:highlight w:val="none"/>
        </w:rPr>
        <w:t>其他约定:</w:t>
      </w:r>
      <w:r>
        <w:rPr>
          <w:rFonts w:hint="eastAsia" w:ascii="宋体" w:hAnsi="宋体" w:cs="宋体"/>
          <w:color w:val="auto"/>
          <w:sz w:val="24"/>
          <w:highlight w:val="none"/>
          <w:u w:val="single"/>
        </w:rPr>
        <w:t xml:space="preserve">     无         </w:t>
      </w:r>
    </w:p>
    <w:p>
      <w:pPr>
        <w:numPr>
          <w:ilvl w:val="0"/>
          <w:numId w:val="2"/>
        </w:numPr>
        <w:spacing w:line="360" w:lineRule="auto"/>
        <w:ind w:left="0" w:firstLine="525"/>
        <w:rPr>
          <w:rFonts w:ascii="宋体" w:hAnsi="宋体"/>
          <w:color w:val="auto"/>
          <w:sz w:val="24"/>
          <w:highlight w:val="none"/>
        </w:rPr>
      </w:pPr>
      <w:r>
        <w:rPr>
          <w:rFonts w:hint="eastAsia" w:ascii="宋体" w:hAnsi="宋体" w:cs="宋体"/>
          <w:color w:val="auto"/>
          <w:sz w:val="24"/>
          <w:highlight w:val="none"/>
        </w:rPr>
        <w:t>本合同执行过程中的未尽事宜，双方应本着实事求是、友好协商的态度加 以解决。双方协商一致的，签订补充协议。补充协议与本合同具有同等效力。</w:t>
      </w:r>
    </w:p>
    <w:p>
      <w:pPr>
        <w:numPr>
          <w:ilvl w:val="0"/>
          <w:numId w:val="2"/>
        </w:numPr>
        <w:spacing w:line="360" w:lineRule="auto"/>
        <w:ind w:left="0" w:firstLine="525"/>
        <w:rPr>
          <w:rFonts w:ascii="宋体" w:hAnsi="宋体"/>
          <w:color w:val="auto"/>
          <w:sz w:val="24"/>
          <w:highlight w:val="none"/>
        </w:rPr>
      </w:pPr>
      <w:r>
        <w:rPr>
          <w:rFonts w:hint="eastAsia" w:ascii="宋体" w:hAnsi="宋体" w:cs="宋体"/>
          <w:color w:val="auto"/>
          <w:sz w:val="24"/>
          <w:highlight w:val="none"/>
        </w:rPr>
        <w:t>因本合同发生争议，由双方当事人协商解决或由双方主管部门调解，协商或调解不成的，</w:t>
      </w:r>
      <w:r>
        <w:rPr>
          <w:rFonts w:hint="eastAsia" w:ascii="宋体" w:hAnsi="宋体" w:cs="宋体"/>
          <w:color w:val="auto"/>
          <w:sz w:val="24"/>
          <w:highlight w:val="none"/>
          <w:lang w:val="en-US" w:eastAsia="zh-CN"/>
        </w:rPr>
        <w:t>可向甲方所在地人民法院起诉</w:t>
      </w:r>
      <w:r>
        <w:rPr>
          <w:rFonts w:hint="eastAsia" w:ascii="宋体" w:hAnsi="宋体" w:cs="宋体"/>
          <w:color w:val="auto"/>
          <w:sz w:val="24"/>
          <w:highlight w:val="none"/>
        </w:rPr>
        <w:t xml:space="preserve">。 </w:t>
      </w:r>
    </w:p>
    <w:p>
      <w:pPr>
        <w:numPr>
          <w:ilvl w:val="0"/>
          <w:numId w:val="2"/>
        </w:numPr>
        <w:spacing w:line="360" w:lineRule="auto"/>
        <w:ind w:left="0" w:firstLine="525"/>
        <w:rPr>
          <w:rFonts w:ascii="宋体" w:hAnsi="宋体"/>
          <w:color w:val="auto"/>
          <w:sz w:val="24"/>
          <w:highlight w:val="none"/>
        </w:rPr>
      </w:pPr>
      <w:r>
        <w:rPr>
          <w:rFonts w:hint="eastAsia" w:ascii="宋体" w:hAnsi="宋体"/>
          <w:color w:val="auto"/>
          <w:sz w:val="24"/>
          <w:highlight w:val="none"/>
        </w:rPr>
        <w:t>附则</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1．本合同由双方代表签字，加盖双方公章或合同专用章即生效。全部成果交接完毕和工程费结算完成后，本合同终止。</w:t>
      </w:r>
    </w:p>
    <w:p>
      <w:pPr>
        <w:pStyle w:val="20"/>
        <w:spacing w:line="360" w:lineRule="auto"/>
        <w:ind w:firstLine="480" w:firstLineChars="200"/>
        <w:rPr>
          <w:rFonts w:hAnsi="宋体"/>
          <w:color w:val="auto"/>
          <w:sz w:val="24"/>
          <w:szCs w:val="24"/>
          <w:highlight w:val="none"/>
        </w:rPr>
      </w:pPr>
      <w:r>
        <w:rPr>
          <w:rFonts w:hint="eastAsia" w:hAnsi="宋体"/>
          <w:color w:val="auto"/>
          <w:sz w:val="24"/>
          <w:szCs w:val="24"/>
          <w:highlight w:val="none"/>
        </w:rPr>
        <w:t>2.本合同一式</w:t>
      </w:r>
      <w:r>
        <w:rPr>
          <w:rFonts w:hint="eastAsia" w:hAnsi="宋体"/>
          <w:color w:val="auto"/>
          <w:sz w:val="24"/>
          <w:szCs w:val="24"/>
          <w:highlight w:val="none"/>
          <w:u w:val="single"/>
        </w:rPr>
        <w:t>捌</w:t>
      </w:r>
      <w:r>
        <w:rPr>
          <w:rFonts w:hint="eastAsia" w:hAnsi="宋体"/>
          <w:color w:val="auto"/>
          <w:sz w:val="24"/>
          <w:szCs w:val="24"/>
          <w:highlight w:val="none"/>
        </w:rPr>
        <w:t>份，甲方</w:t>
      </w:r>
      <w:r>
        <w:rPr>
          <w:rFonts w:hint="eastAsia" w:hAnsi="宋体"/>
          <w:color w:val="auto"/>
          <w:sz w:val="24"/>
          <w:szCs w:val="24"/>
          <w:highlight w:val="none"/>
          <w:u w:val="single"/>
        </w:rPr>
        <w:t>陆</w:t>
      </w:r>
      <w:r>
        <w:rPr>
          <w:rFonts w:hint="eastAsia" w:hAnsi="宋体"/>
          <w:color w:val="auto"/>
          <w:sz w:val="24"/>
          <w:szCs w:val="24"/>
          <w:highlight w:val="none"/>
        </w:rPr>
        <w:t>份，乙方</w:t>
      </w:r>
      <w:r>
        <w:rPr>
          <w:rFonts w:hint="eastAsia" w:hAnsi="宋体"/>
          <w:color w:val="auto"/>
          <w:sz w:val="24"/>
          <w:szCs w:val="24"/>
          <w:highlight w:val="none"/>
          <w:u w:val="single"/>
        </w:rPr>
        <w:t>贰</w:t>
      </w:r>
      <w:r>
        <w:rPr>
          <w:rFonts w:hint="eastAsia" w:hAnsi="宋体"/>
          <w:color w:val="auto"/>
          <w:sz w:val="24"/>
          <w:szCs w:val="24"/>
          <w:highlight w:val="none"/>
        </w:rPr>
        <w:t>份。</w:t>
      </w:r>
    </w:p>
    <w:p>
      <w:pPr>
        <w:pStyle w:val="20"/>
        <w:spacing w:line="360" w:lineRule="auto"/>
        <w:rPr>
          <w:rFonts w:hint="eastAsia" w:hAnsi="宋体" w:cs="宋体"/>
          <w:color w:val="auto"/>
          <w:sz w:val="24"/>
          <w:highlight w:val="none"/>
        </w:rPr>
      </w:pPr>
    </w:p>
    <w:p>
      <w:pPr>
        <w:pStyle w:val="20"/>
        <w:spacing w:line="360" w:lineRule="auto"/>
        <w:rPr>
          <w:rFonts w:hint="eastAsia" w:hAnsi="宋体" w:cs="宋体"/>
          <w:color w:val="auto"/>
          <w:sz w:val="24"/>
          <w:highlight w:val="none"/>
        </w:rPr>
      </w:pPr>
    </w:p>
    <w:p>
      <w:pPr>
        <w:pStyle w:val="20"/>
        <w:spacing w:line="360" w:lineRule="auto"/>
        <w:rPr>
          <w:rFonts w:hint="eastAsia" w:hAnsi="宋体" w:cs="宋体"/>
          <w:color w:val="auto"/>
          <w:sz w:val="24"/>
          <w:highlight w:val="none"/>
        </w:rPr>
      </w:pPr>
    </w:p>
    <w:p>
      <w:pPr>
        <w:pStyle w:val="20"/>
        <w:spacing w:line="360" w:lineRule="auto"/>
        <w:rPr>
          <w:rFonts w:hint="eastAsia" w:hAnsi="宋体" w:cs="宋体"/>
          <w:color w:val="auto"/>
          <w:sz w:val="24"/>
          <w:highlight w:val="none"/>
        </w:rPr>
      </w:pPr>
    </w:p>
    <w:p>
      <w:pPr>
        <w:pStyle w:val="20"/>
        <w:spacing w:line="360" w:lineRule="auto"/>
        <w:rPr>
          <w:rFonts w:hint="eastAsia" w:hAnsi="宋体" w:cs="宋体"/>
          <w:color w:val="auto"/>
          <w:sz w:val="24"/>
          <w:highlight w:val="none"/>
        </w:rPr>
      </w:pPr>
    </w:p>
    <w:p>
      <w:pPr>
        <w:pStyle w:val="20"/>
        <w:spacing w:line="360" w:lineRule="auto"/>
        <w:rPr>
          <w:rFonts w:hAnsi="宋体" w:cs="宋体"/>
          <w:color w:val="auto"/>
          <w:sz w:val="24"/>
          <w:szCs w:val="24"/>
          <w:highlight w:val="none"/>
        </w:rPr>
      </w:pPr>
      <w:r>
        <w:rPr>
          <w:rFonts w:hint="eastAsia" w:hAnsi="宋体" w:cs="宋体"/>
          <w:color w:val="auto"/>
          <w:sz w:val="24"/>
          <w:highlight w:val="none"/>
          <w:lang w:eastAsia="zh-CN"/>
        </w:rPr>
        <w:t>委托人</w:t>
      </w:r>
      <w:r>
        <w:rPr>
          <w:rFonts w:hint="eastAsia" w:hAnsi="宋体" w:cs="宋体"/>
          <w:color w:val="auto"/>
          <w:sz w:val="24"/>
          <w:szCs w:val="24"/>
          <w:highlight w:val="none"/>
        </w:rPr>
        <w:t xml:space="preserve">名称(盖章):                   承揽人名称(盖章): </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 xml:space="preserve">               </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lang w:eastAsia="zh-CN"/>
        </w:rPr>
        <w:t>委托人</w:t>
      </w:r>
      <w:r>
        <w:rPr>
          <w:rFonts w:hint="eastAsia" w:hAnsi="宋体" w:cs="宋体"/>
          <w:color w:val="auto"/>
          <w:sz w:val="24"/>
          <w:szCs w:val="24"/>
          <w:highlight w:val="none"/>
        </w:rPr>
        <w:t xml:space="preserve">地址:                         承揽人地址:               </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邮政编码:                           邮政编码:</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 xml:space="preserve">联系人:                             联系人:        </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 xml:space="preserve">电话:                               电话:  </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 xml:space="preserve">传真:                               传真:     </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开户银行:                           开户银行:</w:t>
      </w:r>
    </w:p>
    <w:p>
      <w:pPr>
        <w:pStyle w:val="20"/>
        <w:spacing w:line="360" w:lineRule="auto"/>
        <w:rPr>
          <w:rFonts w:hAnsi="宋体" w:cs="宋体"/>
          <w:color w:val="auto"/>
          <w:sz w:val="24"/>
          <w:szCs w:val="24"/>
          <w:highlight w:val="none"/>
        </w:rPr>
      </w:pP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银行账号:                           银行账号:</w:t>
      </w: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法定代表人或授权人(签字):           法定代表人或授权人(签字)</w:t>
      </w:r>
    </w:p>
    <w:p>
      <w:pPr>
        <w:pStyle w:val="20"/>
        <w:spacing w:line="360" w:lineRule="auto"/>
        <w:rPr>
          <w:rFonts w:hAnsi="宋体" w:cs="宋体"/>
          <w:color w:val="auto"/>
          <w:sz w:val="24"/>
          <w:szCs w:val="24"/>
          <w:highlight w:val="none"/>
        </w:rPr>
      </w:pP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日期:                               日期:</w:t>
      </w: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8"/>
        <w:ind w:left="2429"/>
        <w:rPr>
          <w:color w:val="auto"/>
          <w:highlight w:val="none"/>
          <w:shd w:val="clear" w:color="auto" w:fill="auto"/>
        </w:rPr>
      </w:pPr>
    </w:p>
    <w:p>
      <w:pPr>
        <w:pStyle w:val="4"/>
        <w:pageBreakBefore w:val="0"/>
        <w:kinsoku/>
        <w:topLinePunct w:val="0"/>
        <w:bidi w:val="0"/>
        <w:spacing w:line="360" w:lineRule="auto"/>
        <w:jc w:val="center"/>
        <w:textAlignment w:val="auto"/>
        <w:rPr>
          <w:color w:val="auto"/>
          <w:highlight w:val="none"/>
        </w:rPr>
      </w:pPr>
      <w:bookmarkStart w:id="103" w:name="_Toc26956"/>
      <w:r>
        <w:rPr>
          <w:rFonts w:hint="eastAsia"/>
          <w:color w:val="auto"/>
          <w:highlight w:val="none"/>
        </w:rPr>
        <w:t xml:space="preserve">第五章  </w:t>
      </w:r>
      <w:bookmarkStart w:id="104" w:name="_Toc3081"/>
      <w:r>
        <w:rPr>
          <w:rFonts w:hint="eastAsia"/>
          <w:color w:val="auto"/>
          <w:highlight w:val="none"/>
          <w:lang w:val="en-US" w:eastAsia="zh-CN"/>
        </w:rPr>
        <w:t>询比人</w:t>
      </w:r>
      <w:r>
        <w:rPr>
          <w:rFonts w:hint="eastAsia"/>
          <w:color w:val="auto"/>
          <w:highlight w:val="none"/>
        </w:rPr>
        <w:t>要求</w:t>
      </w:r>
      <w:bookmarkEnd w:id="103"/>
    </w:p>
    <w:p>
      <w:pPr>
        <w:pStyle w:val="48"/>
        <w:numPr>
          <w:ilvl w:val="0"/>
          <w:numId w:val="0"/>
        </w:numPr>
        <w:rPr>
          <w:rFonts w:hint="eastAsia"/>
          <w:color w:val="auto"/>
          <w:highlight w:val="none"/>
          <w:lang w:val="en-US" w:eastAsia="zh-CN"/>
        </w:rPr>
      </w:pPr>
      <w:bookmarkStart w:id="105" w:name="_Toc32322"/>
      <w:bookmarkEnd w:id="105"/>
      <w:bookmarkStart w:id="106" w:name="_Toc493934750"/>
      <w:bookmarkEnd w:id="106"/>
      <w:r>
        <w:rPr>
          <w:rFonts w:hint="eastAsia"/>
          <w:color w:val="auto"/>
          <w:highlight w:val="none"/>
          <w:lang w:val="en-US" w:eastAsia="zh-CN"/>
        </w:rPr>
        <w:t>1、接到委托方下达规划核实任务后依据相关标准规范对郑州市石佛水厂改造工程项目进行竣工规划核实、土地核验测绘；</w:t>
      </w:r>
    </w:p>
    <w:p>
      <w:pPr>
        <w:pStyle w:val="48"/>
        <w:numPr>
          <w:ilvl w:val="0"/>
          <w:numId w:val="0"/>
        </w:numPr>
        <w:rPr>
          <w:rFonts w:hint="eastAsia"/>
          <w:color w:val="auto"/>
          <w:highlight w:val="none"/>
          <w:lang w:val="en-US" w:eastAsia="zh-CN"/>
        </w:rPr>
      </w:pPr>
      <w:r>
        <w:rPr>
          <w:rFonts w:hint="eastAsia"/>
          <w:color w:val="auto"/>
          <w:highlight w:val="none"/>
          <w:lang w:val="en-US" w:eastAsia="zh-CN"/>
        </w:rPr>
        <w:t>2、根据合同约定提供规划核实、土地核验测绘报告，并对报告的准确性负责；</w:t>
      </w:r>
    </w:p>
    <w:p>
      <w:pPr>
        <w:pStyle w:val="48"/>
        <w:numPr>
          <w:ilvl w:val="0"/>
          <w:numId w:val="0"/>
        </w:numPr>
        <w:rPr>
          <w:rFonts w:hint="eastAsia"/>
          <w:color w:val="auto"/>
          <w:highlight w:val="none"/>
          <w:lang w:val="en-US" w:eastAsia="zh-CN"/>
        </w:rPr>
      </w:pPr>
      <w:r>
        <w:rPr>
          <w:rFonts w:hint="eastAsia"/>
          <w:color w:val="auto"/>
          <w:highlight w:val="none"/>
          <w:lang w:val="en-US" w:eastAsia="zh-CN"/>
        </w:rPr>
        <w:t>3、配合委托方进行郑州市石佛水厂改造工程工程规划报审；</w:t>
      </w:r>
    </w:p>
    <w:p>
      <w:pPr>
        <w:pStyle w:val="48"/>
        <w:numPr>
          <w:ilvl w:val="0"/>
          <w:numId w:val="0"/>
        </w:numPr>
        <w:rPr>
          <w:rFonts w:hint="default"/>
          <w:color w:val="auto"/>
          <w:highlight w:val="none"/>
          <w:lang w:val="en-US" w:eastAsia="zh-CN"/>
        </w:rPr>
      </w:pPr>
    </w:p>
    <w:p>
      <w:pPr>
        <w:pStyle w:val="48"/>
        <w:ind w:left="2429"/>
        <w:rPr>
          <w:color w:val="auto"/>
          <w:highlight w:val="none"/>
        </w:rPr>
      </w:pPr>
    </w:p>
    <w:p>
      <w:pPr>
        <w:pStyle w:val="36"/>
        <w:pageBreakBefore w:val="0"/>
        <w:widowControl w:val="0"/>
        <w:kinsoku/>
        <w:wordWrap/>
        <w:overflowPunct/>
        <w:topLinePunct w:val="0"/>
        <w:bidi w:val="0"/>
        <w:snapToGrid/>
        <w:spacing w:after="0" w:line="360" w:lineRule="auto"/>
        <w:ind w:left="0" w:leftChars="0" w:firstLine="643"/>
        <w:textAlignment w:val="auto"/>
        <w:rPr>
          <w:rStyle w:val="83"/>
          <w:color w:val="auto"/>
          <w:szCs w:val="22"/>
          <w:highlight w:val="none"/>
        </w:rPr>
      </w:pPr>
    </w:p>
    <w:p>
      <w:pPr>
        <w:pStyle w:val="36"/>
        <w:pageBreakBefore w:val="0"/>
        <w:kinsoku/>
        <w:topLinePunct w:val="0"/>
        <w:bidi w:val="0"/>
        <w:spacing w:line="360" w:lineRule="auto"/>
        <w:ind w:firstLine="643"/>
        <w:textAlignment w:val="auto"/>
        <w:rPr>
          <w:rStyle w:val="83"/>
          <w:color w:val="auto"/>
          <w:szCs w:val="22"/>
          <w:highlight w:val="none"/>
        </w:rPr>
      </w:pPr>
    </w:p>
    <w:p>
      <w:pPr>
        <w:pStyle w:val="36"/>
        <w:pageBreakBefore w:val="0"/>
        <w:kinsoku/>
        <w:topLinePunct w:val="0"/>
        <w:bidi w:val="0"/>
        <w:spacing w:line="360" w:lineRule="auto"/>
        <w:ind w:firstLine="643"/>
        <w:textAlignment w:val="auto"/>
        <w:rPr>
          <w:rStyle w:val="83"/>
          <w:color w:val="auto"/>
          <w:szCs w:val="22"/>
          <w:highlight w:val="none"/>
        </w:rPr>
      </w:pPr>
    </w:p>
    <w:p>
      <w:pPr>
        <w:pStyle w:val="36"/>
        <w:pageBreakBefore w:val="0"/>
        <w:kinsoku/>
        <w:topLinePunct w:val="0"/>
        <w:bidi w:val="0"/>
        <w:spacing w:line="360" w:lineRule="auto"/>
        <w:ind w:firstLine="643"/>
        <w:textAlignment w:val="auto"/>
        <w:rPr>
          <w:rStyle w:val="83"/>
          <w:color w:val="auto"/>
          <w:szCs w:val="22"/>
          <w:highlight w:val="none"/>
        </w:rPr>
      </w:pPr>
    </w:p>
    <w:p>
      <w:pPr>
        <w:pStyle w:val="36"/>
        <w:pageBreakBefore w:val="0"/>
        <w:kinsoku/>
        <w:topLinePunct w:val="0"/>
        <w:bidi w:val="0"/>
        <w:spacing w:line="360" w:lineRule="auto"/>
        <w:ind w:firstLine="643"/>
        <w:textAlignment w:val="auto"/>
        <w:rPr>
          <w:rStyle w:val="83"/>
          <w:color w:val="auto"/>
          <w:szCs w:val="22"/>
          <w:highlight w:val="none"/>
        </w:rPr>
      </w:pPr>
    </w:p>
    <w:p>
      <w:pPr>
        <w:pStyle w:val="36"/>
        <w:pageBreakBefore w:val="0"/>
        <w:kinsoku/>
        <w:topLinePunct w:val="0"/>
        <w:bidi w:val="0"/>
        <w:spacing w:line="360" w:lineRule="auto"/>
        <w:ind w:firstLine="643"/>
        <w:textAlignment w:val="auto"/>
        <w:rPr>
          <w:rStyle w:val="83"/>
          <w:color w:val="auto"/>
          <w:szCs w:val="22"/>
          <w:highlight w:val="none"/>
        </w:rPr>
      </w:pPr>
    </w:p>
    <w:p>
      <w:pPr>
        <w:pageBreakBefore w:val="0"/>
        <w:kinsoku/>
        <w:topLinePunct w:val="0"/>
        <w:bidi w:val="0"/>
        <w:spacing w:line="360" w:lineRule="auto"/>
        <w:textAlignment w:val="auto"/>
        <w:rPr>
          <w:rStyle w:val="83"/>
          <w:color w:val="auto"/>
          <w:szCs w:val="22"/>
          <w:highlight w:val="none"/>
        </w:rPr>
      </w:pPr>
      <w:r>
        <w:rPr>
          <w:rStyle w:val="83"/>
          <w:color w:val="auto"/>
          <w:szCs w:val="22"/>
          <w:highlight w:val="none"/>
        </w:rPr>
        <w:br w:type="page"/>
      </w:r>
    </w:p>
    <w:p>
      <w:pPr>
        <w:pStyle w:val="4"/>
        <w:pageBreakBefore w:val="0"/>
        <w:kinsoku/>
        <w:topLinePunct w:val="0"/>
        <w:bidi w:val="0"/>
        <w:spacing w:line="360" w:lineRule="auto"/>
        <w:textAlignment w:val="auto"/>
        <w:rPr>
          <w:color w:val="auto"/>
          <w:highlight w:val="none"/>
        </w:rPr>
      </w:pPr>
      <w:bookmarkStart w:id="107" w:name="_Toc13007"/>
      <w:r>
        <w:rPr>
          <w:rFonts w:hint="eastAsia"/>
          <w:color w:val="auto"/>
          <w:highlight w:val="none"/>
        </w:rPr>
        <w:t xml:space="preserve">第六章 </w:t>
      </w:r>
      <w:r>
        <w:rPr>
          <w:rFonts w:hint="eastAsia"/>
          <w:color w:val="auto"/>
          <w:highlight w:val="none"/>
          <w:lang w:val="en-US"/>
        </w:rPr>
        <w:t xml:space="preserve"> </w:t>
      </w:r>
      <w:r>
        <w:rPr>
          <w:rFonts w:hint="eastAsia"/>
          <w:color w:val="auto"/>
          <w:highlight w:val="none"/>
        </w:rPr>
        <w:t>响应文件格式</w:t>
      </w:r>
      <w:bookmarkEnd w:id="104"/>
      <w:bookmarkEnd w:id="107"/>
    </w:p>
    <w:p>
      <w:pPr>
        <w:pageBreakBefore w:val="0"/>
        <w:widowControl/>
        <w:kinsoku/>
        <w:topLinePunct w:val="0"/>
        <w:bidi w:val="0"/>
        <w:spacing w:line="360" w:lineRule="auto"/>
        <w:jc w:val="right"/>
        <w:textAlignment w:val="auto"/>
        <w:rPr>
          <w:rFonts w:ascii="宋体" w:hAnsi="宋体" w:cs="宋体"/>
          <w:b/>
          <w:color w:val="auto"/>
          <w:kern w:val="0"/>
          <w:sz w:val="30"/>
          <w:szCs w:val="30"/>
          <w:highlight w:val="none"/>
        </w:rPr>
      </w:pPr>
    </w:p>
    <w:p>
      <w:pPr>
        <w:pageBreakBefore w:val="0"/>
        <w:kinsoku/>
        <w:topLinePunct w:val="0"/>
        <w:bidi w:val="0"/>
        <w:spacing w:line="360" w:lineRule="auto"/>
        <w:textAlignment w:val="auto"/>
        <w:rPr>
          <w:color w:val="auto"/>
          <w:highlight w:val="none"/>
        </w:rPr>
      </w:pPr>
      <w:r>
        <w:rPr>
          <w:rFonts w:hint="eastAsia"/>
          <w:color w:val="auto"/>
          <w:highlight w:val="none"/>
        </w:rPr>
        <w:t xml:space="preserve">                                         </w:t>
      </w:r>
      <w:bookmarkStart w:id="108" w:name="_Toc10685_WPSOffice_Level1"/>
      <w:bookmarkStart w:id="109" w:name="_Toc6298_WPSOffice_Level1"/>
      <w:bookmarkStart w:id="110" w:name="_Toc15391_WPSOffice_Level1"/>
      <w:bookmarkStart w:id="111" w:name="_Toc3475"/>
      <w:bookmarkStart w:id="112" w:name="_Toc737_WPSOffice_Level1"/>
      <w:r>
        <w:rPr>
          <w:rFonts w:hint="eastAsia"/>
          <w:color w:val="auto"/>
          <w:highlight w:val="none"/>
          <w:lang w:val="en-US" w:eastAsia="zh-CN"/>
        </w:rPr>
        <w:t xml:space="preserve">                    </w:t>
      </w:r>
      <w:r>
        <w:rPr>
          <w:rFonts w:hint="eastAsia" w:ascii="宋体" w:hAnsi="宋体" w:eastAsia="宋体" w:cs="宋体"/>
          <w:b/>
          <w:bCs/>
          <w:color w:val="auto"/>
          <w:sz w:val="30"/>
          <w:szCs w:val="30"/>
          <w:highlight w:val="none"/>
        </w:rPr>
        <w:t>（正/副本）</w:t>
      </w:r>
      <w:bookmarkEnd w:id="108"/>
      <w:bookmarkEnd w:id="109"/>
      <w:bookmarkEnd w:id="110"/>
      <w:bookmarkEnd w:id="111"/>
      <w:bookmarkEnd w:id="112"/>
    </w:p>
    <w:p>
      <w:pPr>
        <w:pageBreakBefore w:val="0"/>
        <w:widowControl/>
        <w:kinsoku/>
        <w:topLinePunct w:val="0"/>
        <w:bidi w:val="0"/>
        <w:spacing w:line="360" w:lineRule="auto"/>
        <w:jc w:val="center"/>
        <w:textAlignment w:val="auto"/>
        <w:outlineLvl w:val="1"/>
        <w:rPr>
          <w:rFonts w:ascii="宋体" w:hAnsi="宋体" w:cs="宋体"/>
          <w:color w:val="auto"/>
          <w:kern w:val="0"/>
          <w:sz w:val="30"/>
          <w:szCs w:val="30"/>
          <w:highlight w:val="none"/>
        </w:rPr>
      </w:pPr>
      <w:r>
        <w:rPr>
          <w:rFonts w:hint="eastAsia" w:ascii="宋体" w:hAnsi="宋体" w:cs="宋体"/>
          <w:b/>
          <w:bCs/>
          <w:color w:val="auto"/>
          <w:kern w:val="0"/>
          <w:sz w:val="44"/>
          <w:szCs w:val="44"/>
          <w:highlight w:val="none"/>
        </w:rPr>
        <w:t xml:space="preserve">   </w:t>
      </w:r>
      <w:r>
        <w:rPr>
          <w:rFonts w:hint="eastAsia" w:ascii="宋体" w:hAnsi="宋体" w:cs="宋体"/>
          <w:b/>
          <w:bCs/>
          <w:color w:val="auto"/>
          <w:kern w:val="0"/>
          <w:sz w:val="44"/>
          <w:szCs w:val="44"/>
          <w:highlight w:val="none"/>
          <w:u w:val="single"/>
        </w:rPr>
        <w:t xml:space="preserve">                   </w:t>
      </w:r>
      <w:bookmarkStart w:id="113" w:name="_Toc5660_WPSOffice_Level2"/>
      <w:bookmarkStart w:id="114" w:name="_Toc2342"/>
      <w:bookmarkStart w:id="115" w:name="_Toc649_WPSOffice_Level2"/>
      <w:bookmarkStart w:id="116" w:name="_Toc182_WPSOffice_Level2"/>
      <w:bookmarkStart w:id="117" w:name="_Toc5346_WPSOffice_Level2"/>
      <w:r>
        <w:rPr>
          <w:rFonts w:hint="eastAsia" w:ascii="宋体" w:hAnsi="宋体" w:cs="宋体"/>
          <w:b/>
          <w:bCs/>
          <w:color w:val="auto"/>
          <w:kern w:val="0"/>
          <w:sz w:val="44"/>
          <w:szCs w:val="44"/>
          <w:highlight w:val="none"/>
        </w:rPr>
        <w:t>（项目名称）</w:t>
      </w:r>
      <w:bookmarkEnd w:id="113"/>
      <w:bookmarkEnd w:id="114"/>
      <w:bookmarkEnd w:id="115"/>
      <w:bookmarkEnd w:id="116"/>
      <w:bookmarkEnd w:id="117"/>
      <w:r>
        <w:rPr>
          <w:rFonts w:hint="eastAsia" w:ascii="宋体" w:hAnsi="宋体" w:cs="宋体"/>
          <w:b/>
          <w:bCs/>
          <w:color w:val="auto"/>
          <w:kern w:val="0"/>
          <w:sz w:val="44"/>
          <w:szCs w:val="44"/>
          <w:highlight w:val="none"/>
        </w:rPr>
        <w:t xml:space="preserve"> </w:t>
      </w:r>
    </w:p>
    <w:p>
      <w:pPr>
        <w:pageBreakBefore w:val="0"/>
        <w:widowControl/>
        <w:kinsoku/>
        <w:topLinePunct w:val="0"/>
        <w:bidi w:val="0"/>
        <w:spacing w:line="360" w:lineRule="auto"/>
        <w:jc w:val="center"/>
        <w:textAlignment w:val="auto"/>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pageBreakBefore w:val="0"/>
        <w:widowControl/>
        <w:kinsoku/>
        <w:topLinePunct w:val="0"/>
        <w:bidi w:val="0"/>
        <w:spacing w:line="360" w:lineRule="auto"/>
        <w:jc w:val="center"/>
        <w:textAlignment w:val="auto"/>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pageBreakBefore w:val="0"/>
        <w:widowControl/>
        <w:kinsoku/>
        <w:topLinePunct w:val="0"/>
        <w:bidi w:val="0"/>
        <w:spacing w:line="360" w:lineRule="auto"/>
        <w:jc w:val="center"/>
        <w:textAlignment w:val="auto"/>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pageBreakBefore w:val="0"/>
        <w:widowControl/>
        <w:kinsoku/>
        <w:topLinePunct w:val="0"/>
        <w:bidi w:val="0"/>
        <w:spacing w:line="360" w:lineRule="auto"/>
        <w:jc w:val="center"/>
        <w:textAlignment w:val="auto"/>
        <w:outlineLvl w:val="1"/>
        <w:rPr>
          <w:rFonts w:ascii="宋体" w:hAnsi="宋体" w:cs="宋体"/>
          <w:b/>
          <w:bCs/>
          <w:color w:val="auto"/>
          <w:kern w:val="0"/>
          <w:sz w:val="72"/>
          <w:szCs w:val="72"/>
          <w:highlight w:val="none"/>
        </w:rPr>
      </w:pPr>
      <w:bookmarkStart w:id="118" w:name="_Toc24709"/>
      <w:bookmarkStart w:id="119" w:name="_Toc1294_WPSOffice_Level2"/>
      <w:bookmarkStart w:id="120" w:name="_Toc1808_WPSOffice_Level2"/>
      <w:bookmarkStart w:id="121" w:name="_Toc27129_WPSOffice_Level2"/>
      <w:bookmarkStart w:id="122" w:name="_Toc8601_WPSOffice_Level2"/>
      <w:r>
        <w:rPr>
          <w:rFonts w:hint="eastAsia" w:ascii="宋体" w:hAnsi="宋体" w:cs="宋体"/>
          <w:b/>
          <w:bCs/>
          <w:color w:val="auto"/>
          <w:kern w:val="0"/>
          <w:sz w:val="72"/>
          <w:szCs w:val="72"/>
          <w:highlight w:val="none"/>
        </w:rPr>
        <w:t>响 应 文 件</w:t>
      </w:r>
      <w:bookmarkEnd w:id="118"/>
      <w:bookmarkEnd w:id="119"/>
      <w:bookmarkEnd w:id="120"/>
      <w:bookmarkEnd w:id="121"/>
      <w:bookmarkEnd w:id="122"/>
    </w:p>
    <w:p>
      <w:pPr>
        <w:pageBreakBefore w:val="0"/>
        <w:widowControl/>
        <w:kinsoku/>
        <w:topLinePunct w:val="0"/>
        <w:bidi w:val="0"/>
        <w:spacing w:line="360" w:lineRule="auto"/>
        <w:jc w:val="center"/>
        <w:textAlignment w:val="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p>
    <w:p>
      <w:pPr>
        <w:pageBreakBefore w:val="0"/>
        <w:widowControl/>
        <w:kinsoku/>
        <w:topLinePunct w:val="0"/>
        <w:bidi w:val="0"/>
        <w:spacing w:line="360" w:lineRule="auto"/>
        <w:jc w:val="center"/>
        <w:textAlignment w:val="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p>
    <w:p>
      <w:pPr>
        <w:pageBreakBefore w:val="0"/>
        <w:widowControl/>
        <w:kinsoku/>
        <w:topLinePunct w:val="0"/>
        <w:bidi w:val="0"/>
        <w:spacing w:line="360" w:lineRule="auto"/>
        <w:jc w:val="center"/>
        <w:textAlignment w:val="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p>
    <w:p>
      <w:pPr>
        <w:pageBreakBefore w:val="0"/>
        <w:widowControl/>
        <w:kinsoku/>
        <w:topLinePunct w:val="0"/>
        <w:bidi w:val="0"/>
        <w:spacing w:line="360" w:lineRule="auto"/>
        <w:jc w:val="center"/>
        <w:textAlignment w:val="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p>
    <w:p>
      <w:pPr>
        <w:pageBreakBefore w:val="0"/>
        <w:widowControl/>
        <w:kinsoku/>
        <w:topLinePunct w:val="0"/>
        <w:bidi w:val="0"/>
        <w:spacing w:line="360" w:lineRule="auto"/>
        <w:jc w:val="center"/>
        <w:textAlignment w:val="auto"/>
        <w:rPr>
          <w:rFonts w:ascii="宋体" w:hAnsi="宋体" w:cs="宋体"/>
          <w:b/>
          <w:bCs/>
          <w:color w:val="auto"/>
          <w:kern w:val="0"/>
          <w:sz w:val="30"/>
          <w:szCs w:val="30"/>
          <w:highlight w:val="none"/>
        </w:rPr>
      </w:pPr>
    </w:p>
    <w:p>
      <w:pPr>
        <w:pageBreakBefore w:val="0"/>
        <w:widowControl/>
        <w:kinsoku/>
        <w:topLinePunct w:val="0"/>
        <w:bidi w:val="0"/>
        <w:spacing w:line="360" w:lineRule="auto"/>
        <w:ind w:firstLine="1450" w:firstLineChars="516"/>
        <w:textAlignment w:val="auto"/>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                          </w:t>
      </w:r>
    </w:p>
    <w:p>
      <w:pPr>
        <w:pageBreakBefore w:val="0"/>
        <w:widowControl/>
        <w:kinsoku/>
        <w:topLinePunct w:val="0"/>
        <w:bidi w:val="0"/>
        <w:spacing w:line="360" w:lineRule="auto"/>
        <w:ind w:firstLine="1450" w:firstLineChars="516"/>
        <w:textAlignment w:val="auto"/>
        <w:outlineLvl w:val="1"/>
        <w:rPr>
          <w:rFonts w:ascii="宋体" w:hAnsi="宋体" w:cs="宋体"/>
          <w:b/>
          <w:bCs/>
          <w:color w:val="auto"/>
          <w:kern w:val="0"/>
          <w:sz w:val="28"/>
          <w:szCs w:val="28"/>
          <w:highlight w:val="none"/>
        </w:rPr>
      </w:pPr>
      <w:bookmarkStart w:id="123" w:name="_Toc6126_WPSOffice_Level2"/>
      <w:bookmarkStart w:id="124" w:name="_Toc6980_WPSOffice_Level2"/>
      <w:bookmarkStart w:id="125" w:name="_Toc24961_WPSOffice_Level2"/>
      <w:bookmarkStart w:id="126" w:name="_Toc10990_WPSOffice_Level2"/>
      <w:bookmarkStart w:id="127" w:name="_Toc23571"/>
      <w:r>
        <w:rPr>
          <w:rFonts w:hint="eastAsia" w:ascii="宋体" w:hAnsi="宋体" w:cs="宋体"/>
          <w:b/>
          <w:bCs/>
          <w:color w:val="auto"/>
          <w:kern w:val="0"/>
          <w:sz w:val="28"/>
          <w:szCs w:val="28"/>
          <w:highlight w:val="none"/>
        </w:rPr>
        <w:t>响 应 人：</w:t>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rPr>
        <w:t>（盖单位章）</w:t>
      </w:r>
      <w:bookmarkEnd w:id="123"/>
      <w:bookmarkEnd w:id="124"/>
      <w:bookmarkEnd w:id="125"/>
      <w:bookmarkEnd w:id="126"/>
      <w:bookmarkEnd w:id="127"/>
    </w:p>
    <w:p>
      <w:pPr>
        <w:pageBreakBefore w:val="0"/>
        <w:widowControl/>
        <w:kinsoku/>
        <w:topLinePunct w:val="0"/>
        <w:bidi w:val="0"/>
        <w:spacing w:line="360" w:lineRule="auto"/>
        <w:ind w:firstLine="1450" w:firstLineChars="516"/>
        <w:textAlignment w:val="auto"/>
        <w:outlineLvl w:val="1"/>
        <w:rPr>
          <w:rFonts w:ascii="宋体" w:hAnsi="宋体" w:cs="宋体"/>
          <w:b/>
          <w:bCs/>
          <w:color w:val="auto"/>
          <w:kern w:val="0"/>
          <w:sz w:val="28"/>
          <w:szCs w:val="28"/>
          <w:highlight w:val="none"/>
        </w:rPr>
      </w:pPr>
      <w:bookmarkStart w:id="128" w:name="_Toc1179"/>
      <w:bookmarkStart w:id="129" w:name="_Toc20561_WPSOffice_Level2"/>
      <w:bookmarkStart w:id="130" w:name="_Toc29509_WPSOffice_Level2"/>
      <w:bookmarkStart w:id="131" w:name="_Toc6061_WPSOffice_Level2"/>
      <w:bookmarkStart w:id="132" w:name="_Toc8548_WPSOffice_Level2"/>
      <w:r>
        <w:rPr>
          <w:rFonts w:hint="eastAsia" w:ascii="宋体" w:hAnsi="宋体" w:cs="宋体"/>
          <w:b/>
          <w:bCs/>
          <w:color w:val="auto"/>
          <w:kern w:val="0"/>
          <w:sz w:val="28"/>
          <w:szCs w:val="28"/>
          <w:highlight w:val="none"/>
        </w:rPr>
        <w:t>法定代表人或其委托代理人：</w:t>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rPr>
        <w:t>（签字）</w:t>
      </w:r>
      <w:bookmarkEnd w:id="128"/>
      <w:bookmarkEnd w:id="129"/>
      <w:bookmarkEnd w:id="130"/>
      <w:bookmarkEnd w:id="131"/>
      <w:bookmarkEnd w:id="132"/>
    </w:p>
    <w:p>
      <w:pPr>
        <w:pageBreakBefore w:val="0"/>
        <w:widowControl/>
        <w:kinsoku/>
        <w:topLinePunct w:val="0"/>
        <w:bidi w:val="0"/>
        <w:spacing w:line="360" w:lineRule="auto"/>
        <w:ind w:firstLine="1450" w:firstLineChars="516"/>
        <w:textAlignment w:val="auto"/>
        <w:outlineLvl w:val="1"/>
        <w:rPr>
          <w:rFonts w:ascii="宋体" w:hAnsi="宋体" w:cs="宋体"/>
          <w:bCs/>
          <w:color w:val="auto"/>
          <w:kern w:val="0"/>
          <w:sz w:val="24"/>
          <w:highlight w:val="none"/>
        </w:rPr>
      </w:pPr>
      <w:bookmarkStart w:id="133" w:name="_Toc6366"/>
      <w:bookmarkStart w:id="134" w:name="_Toc3726_WPSOffice_Level2"/>
      <w:bookmarkStart w:id="135" w:name="_Toc23373_WPSOffice_Level2"/>
      <w:bookmarkStart w:id="136" w:name="_Toc3488_WPSOffice_Level2"/>
      <w:bookmarkStart w:id="137" w:name="_Toc2642_WPSOffice_Level2"/>
      <w:r>
        <w:rPr>
          <w:rFonts w:hint="eastAsia" w:ascii="宋体" w:hAnsi="宋体" w:cs="宋体"/>
          <w:b/>
          <w:bCs/>
          <w:color w:val="auto"/>
          <w:kern w:val="0"/>
          <w:sz w:val="28"/>
          <w:szCs w:val="28"/>
          <w:highlight w:val="none"/>
        </w:rPr>
        <w:t>日    期：</w:t>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u w:val="single"/>
        </w:rPr>
        <w:tab/>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rPr>
        <w:t>年</w:t>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rPr>
        <w:t>月</w:t>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rPr>
        <w:t>日</w:t>
      </w:r>
      <w:bookmarkEnd w:id="133"/>
      <w:bookmarkEnd w:id="134"/>
      <w:bookmarkEnd w:id="135"/>
      <w:bookmarkEnd w:id="136"/>
      <w:bookmarkEnd w:id="137"/>
    </w:p>
    <w:p>
      <w:pPr>
        <w:pStyle w:val="6"/>
        <w:pageBreakBefore w:val="0"/>
        <w:kinsoku/>
        <w:topLinePunct w:val="0"/>
        <w:bidi w:val="0"/>
        <w:spacing w:line="36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ageBreakBefore w:val="0"/>
        <w:kinsoku/>
        <w:topLinePunct w:val="0"/>
        <w:bidi w:val="0"/>
        <w:spacing w:line="360" w:lineRule="auto"/>
        <w:jc w:val="center"/>
        <w:textAlignment w:val="auto"/>
        <w:rPr>
          <w:b/>
          <w:bCs/>
          <w:color w:val="auto"/>
          <w:sz w:val="30"/>
          <w:szCs w:val="30"/>
          <w:highlight w:val="none"/>
        </w:rPr>
      </w:pPr>
      <w:bookmarkStart w:id="138" w:name="_Toc27645_WPSOffice_Level1"/>
      <w:bookmarkStart w:id="139" w:name="_Toc23331_WPSOffice_Level1"/>
      <w:bookmarkStart w:id="140" w:name="_Toc26803_WPSOffice_Level1"/>
      <w:bookmarkStart w:id="141" w:name="_Toc21551"/>
      <w:bookmarkStart w:id="142" w:name="_Toc32157_WPSOffice_Level1"/>
      <w:r>
        <w:rPr>
          <w:rFonts w:hint="eastAsia"/>
          <w:b/>
          <w:bCs/>
          <w:color w:val="auto"/>
          <w:sz w:val="30"/>
          <w:szCs w:val="30"/>
          <w:highlight w:val="none"/>
        </w:rPr>
        <w:t>响应文件目录</w:t>
      </w:r>
      <w:bookmarkEnd w:id="138"/>
      <w:bookmarkEnd w:id="139"/>
      <w:bookmarkEnd w:id="140"/>
      <w:bookmarkEnd w:id="141"/>
      <w:bookmarkEnd w:id="142"/>
    </w:p>
    <w:p>
      <w:pPr>
        <w:pageBreakBefore w:val="0"/>
        <w:kinsoku/>
        <w:topLinePunct w:val="0"/>
        <w:bidi w:val="0"/>
        <w:spacing w:line="360" w:lineRule="auto"/>
        <w:ind w:firstLine="480" w:firstLineChars="200"/>
        <w:textAlignment w:val="auto"/>
        <w:rPr>
          <w:color w:val="auto"/>
          <w:sz w:val="24"/>
          <w:szCs w:val="24"/>
          <w:highlight w:val="none"/>
        </w:rPr>
      </w:pPr>
      <w:r>
        <w:rPr>
          <w:rFonts w:hint="eastAsia"/>
          <w:color w:val="auto"/>
          <w:sz w:val="24"/>
          <w:szCs w:val="24"/>
          <w:highlight w:val="none"/>
        </w:rPr>
        <w:t>一、</w:t>
      </w:r>
      <w:r>
        <w:rPr>
          <w:rFonts w:hint="eastAsia"/>
          <w:color w:val="auto"/>
          <w:sz w:val="24"/>
          <w:szCs w:val="24"/>
          <w:highlight w:val="none"/>
          <w:lang w:eastAsia="zh-CN"/>
        </w:rPr>
        <w:t>报价</w:t>
      </w:r>
      <w:r>
        <w:rPr>
          <w:rFonts w:hint="eastAsia"/>
          <w:color w:val="auto"/>
          <w:sz w:val="24"/>
          <w:szCs w:val="24"/>
          <w:highlight w:val="none"/>
        </w:rPr>
        <w:t>函及</w:t>
      </w:r>
      <w:r>
        <w:rPr>
          <w:rFonts w:hint="eastAsia"/>
          <w:color w:val="auto"/>
          <w:sz w:val="24"/>
          <w:szCs w:val="24"/>
          <w:highlight w:val="none"/>
          <w:lang w:eastAsia="zh-CN"/>
        </w:rPr>
        <w:t>报价</w:t>
      </w:r>
      <w:r>
        <w:rPr>
          <w:rFonts w:hint="eastAsia"/>
          <w:color w:val="auto"/>
          <w:sz w:val="24"/>
          <w:szCs w:val="24"/>
          <w:highlight w:val="none"/>
        </w:rPr>
        <w:t xml:space="preserve">函附录 </w:t>
      </w:r>
    </w:p>
    <w:p>
      <w:pPr>
        <w:pageBreakBefore w:val="0"/>
        <w:numPr>
          <w:ilvl w:val="0"/>
          <w:numId w:val="4"/>
        </w:numPr>
        <w:kinsoku/>
        <w:topLinePunct w:val="0"/>
        <w:bidi w:val="0"/>
        <w:spacing w:line="360" w:lineRule="auto"/>
        <w:ind w:firstLine="480"/>
        <w:textAlignment w:val="auto"/>
        <w:rPr>
          <w:rFonts w:hint="eastAsia"/>
          <w:color w:val="auto"/>
          <w:sz w:val="24"/>
          <w:szCs w:val="24"/>
          <w:highlight w:val="none"/>
        </w:rPr>
      </w:pPr>
      <w:r>
        <w:rPr>
          <w:rFonts w:hint="eastAsia"/>
          <w:color w:val="auto"/>
          <w:sz w:val="24"/>
          <w:szCs w:val="24"/>
          <w:highlight w:val="none"/>
        </w:rPr>
        <w:t>法定代表人身份证明</w:t>
      </w:r>
    </w:p>
    <w:p>
      <w:pPr>
        <w:pageBreakBefore w:val="0"/>
        <w:numPr>
          <w:ilvl w:val="0"/>
          <w:numId w:val="4"/>
        </w:numPr>
        <w:kinsoku/>
        <w:topLinePunct w:val="0"/>
        <w:bidi w:val="0"/>
        <w:spacing w:line="360" w:lineRule="auto"/>
        <w:ind w:firstLine="480"/>
        <w:textAlignment w:val="auto"/>
        <w:rPr>
          <w:rFonts w:hint="eastAsia"/>
          <w:color w:val="auto"/>
          <w:sz w:val="24"/>
          <w:szCs w:val="24"/>
          <w:highlight w:val="none"/>
        </w:rPr>
      </w:pPr>
      <w:r>
        <w:rPr>
          <w:rFonts w:hint="eastAsia"/>
          <w:color w:val="auto"/>
          <w:sz w:val="24"/>
          <w:szCs w:val="24"/>
          <w:highlight w:val="none"/>
          <w:lang w:val="en-US" w:eastAsia="zh-CN"/>
        </w:rPr>
        <w:t>法定代表人</w:t>
      </w:r>
      <w:r>
        <w:rPr>
          <w:rFonts w:hint="eastAsia"/>
          <w:color w:val="auto"/>
          <w:sz w:val="24"/>
          <w:szCs w:val="24"/>
          <w:highlight w:val="none"/>
        </w:rPr>
        <w:t>授权委托书</w:t>
      </w:r>
    </w:p>
    <w:p>
      <w:pPr>
        <w:pageBreakBefore w:val="0"/>
        <w:kinsoku/>
        <w:topLinePunct w:val="0"/>
        <w:bidi w:val="0"/>
        <w:spacing w:line="360" w:lineRule="auto"/>
        <w:ind w:firstLine="480"/>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四</w:t>
      </w:r>
      <w:r>
        <w:rPr>
          <w:rFonts w:hint="eastAsia"/>
          <w:color w:val="auto"/>
          <w:sz w:val="24"/>
          <w:szCs w:val="24"/>
          <w:highlight w:val="none"/>
        </w:rPr>
        <w:t>、</w:t>
      </w:r>
      <w:r>
        <w:rPr>
          <w:rFonts w:hint="eastAsia"/>
          <w:color w:val="auto"/>
          <w:sz w:val="24"/>
          <w:szCs w:val="24"/>
          <w:highlight w:val="none"/>
          <w:lang w:val="en-US" w:eastAsia="zh-CN"/>
        </w:rPr>
        <w:t>规划核实</w:t>
      </w:r>
      <w:r>
        <w:rPr>
          <w:rFonts w:hint="eastAsia"/>
          <w:color w:val="auto"/>
          <w:sz w:val="24"/>
          <w:szCs w:val="24"/>
          <w:highlight w:val="none"/>
        </w:rPr>
        <w:t>费用清单</w:t>
      </w:r>
      <w:r>
        <w:rPr>
          <w:rFonts w:hint="eastAsia"/>
          <w:color w:val="auto"/>
          <w:sz w:val="24"/>
          <w:szCs w:val="24"/>
          <w:highlight w:val="none"/>
          <w:lang w:eastAsia="zh-CN"/>
        </w:rPr>
        <w:t>说明</w:t>
      </w:r>
    </w:p>
    <w:p>
      <w:pPr>
        <w:pageBreakBefore w:val="0"/>
        <w:kinsoku/>
        <w:topLinePunct w:val="0"/>
        <w:bidi w:val="0"/>
        <w:spacing w:line="360" w:lineRule="auto"/>
        <w:ind w:firstLine="480"/>
        <w:textAlignment w:val="auto"/>
        <w:rPr>
          <w:color w:val="auto"/>
          <w:sz w:val="24"/>
          <w:szCs w:val="24"/>
          <w:highlight w:val="none"/>
        </w:rPr>
      </w:pPr>
      <w:r>
        <w:rPr>
          <w:rFonts w:hint="eastAsia"/>
          <w:color w:val="auto"/>
          <w:sz w:val="24"/>
          <w:szCs w:val="24"/>
          <w:highlight w:val="none"/>
          <w:lang w:val="en-US" w:eastAsia="zh-CN"/>
        </w:rPr>
        <w:t>五</w:t>
      </w:r>
      <w:r>
        <w:rPr>
          <w:rFonts w:hint="eastAsia"/>
          <w:color w:val="auto"/>
          <w:sz w:val="24"/>
          <w:szCs w:val="24"/>
          <w:highlight w:val="none"/>
        </w:rPr>
        <w:t xml:space="preserve">、资格审查资料 </w:t>
      </w:r>
    </w:p>
    <w:p>
      <w:pPr>
        <w:pageBreakBefore w:val="0"/>
        <w:kinsoku/>
        <w:topLinePunct w:val="0"/>
        <w:bidi w:val="0"/>
        <w:spacing w:line="360" w:lineRule="auto"/>
        <w:ind w:firstLine="480"/>
        <w:textAlignment w:val="auto"/>
        <w:rPr>
          <w:color w:val="auto"/>
          <w:sz w:val="24"/>
          <w:szCs w:val="24"/>
          <w:highlight w:val="none"/>
        </w:rPr>
      </w:pPr>
      <w:r>
        <w:rPr>
          <w:rFonts w:hint="eastAsia"/>
          <w:color w:val="auto"/>
          <w:sz w:val="24"/>
          <w:szCs w:val="24"/>
          <w:highlight w:val="none"/>
          <w:lang w:val="en-US" w:eastAsia="zh-CN"/>
        </w:rPr>
        <w:t>六</w:t>
      </w:r>
      <w:r>
        <w:rPr>
          <w:rFonts w:hint="eastAsia"/>
          <w:color w:val="auto"/>
          <w:sz w:val="24"/>
          <w:szCs w:val="24"/>
          <w:highlight w:val="none"/>
        </w:rPr>
        <w:t>、其他资料</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color w:val="auto"/>
          <w:highlight w:val="none"/>
        </w:rPr>
        <w:br w:type="page"/>
      </w:r>
    </w:p>
    <w:p>
      <w:pPr>
        <w:pStyle w:val="5"/>
        <w:pageBreakBefore w:val="0"/>
        <w:kinsoku/>
        <w:topLinePunct w:val="0"/>
        <w:bidi w:val="0"/>
        <w:spacing w:line="360" w:lineRule="auto"/>
        <w:jc w:val="center"/>
        <w:textAlignment w:val="auto"/>
        <w:rPr>
          <w:rFonts w:hint="eastAsia" w:ascii="宋体" w:hAnsi="宋体" w:eastAsia="宋体" w:cs="宋体"/>
          <w:color w:val="auto"/>
          <w:highlight w:val="none"/>
        </w:rPr>
      </w:pPr>
      <w:bookmarkStart w:id="143" w:name="_Toc24977"/>
      <w:bookmarkEnd w:id="143"/>
      <w:bookmarkStart w:id="144" w:name="_Toc24434"/>
      <w:bookmarkStart w:id="145" w:name="_Toc18416"/>
      <w:bookmarkStart w:id="146" w:name="_Toc28900"/>
      <w:bookmarkStart w:id="147" w:name="_Toc505160203"/>
      <w:bookmarkStart w:id="148" w:name="_Toc7725"/>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函及</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函附录</w:t>
      </w:r>
      <w:bookmarkEnd w:id="144"/>
      <w:bookmarkEnd w:id="145"/>
      <w:bookmarkEnd w:id="146"/>
      <w:bookmarkEnd w:id="147"/>
      <w:bookmarkEnd w:id="148"/>
    </w:p>
    <w:p>
      <w:pPr>
        <w:pStyle w:val="6"/>
        <w:pageBreakBefore w:val="0"/>
        <w:kinsoku/>
        <w:topLinePunct w:val="0"/>
        <w:bidi w:val="0"/>
        <w:spacing w:line="360" w:lineRule="auto"/>
        <w:ind w:firstLine="482"/>
        <w:textAlignment w:val="auto"/>
        <w:rPr>
          <w:color w:val="auto"/>
          <w:highlight w:val="none"/>
        </w:rPr>
      </w:pPr>
      <w:bookmarkStart w:id="149" w:name="_Toc493934760"/>
      <w:bookmarkEnd w:id="149"/>
      <w:bookmarkStart w:id="150" w:name="_Toc16843"/>
      <w:bookmarkEnd w:id="150"/>
      <w:bookmarkStart w:id="151" w:name="_Toc505160204"/>
      <w:bookmarkStart w:id="152" w:name="_Toc16471"/>
      <w:bookmarkStart w:id="153" w:name="_Toc9923"/>
      <w:r>
        <w:rPr>
          <w:rFonts w:hint="eastAsia"/>
          <w:color w:val="auto"/>
          <w:highlight w:val="none"/>
        </w:rPr>
        <w:t>（一）</w:t>
      </w:r>
      <w:r>
        <w:rPr>
          <w:rFonts w:hint="eastAsia"/>
          <w:color w:val="auto"/>
          <w:highlight w:val="none"/>
          <w:lang w:eastAsia="zh-CN"/>
        </w:rPr>
        <w:t>报价</w:t>
      </w:r>
      <w:r>
        <w:rPr>
          <w:rFonts w:hint="eastAsia"/>
          <w:color w:val="auto"/>
          <w:highlight w:val="none"/>
        </w:rPr>
        <w:t>函</w:t>
      </w:r>
      <w:bookmarkEnd w:id="151"/>
      <w:bookmarkEnd w:id="152"/>
      <w:bookmarkEnd w:id="153"/>
    </w:p>
    <w:p>
      <w:pPr>
        <w:pageBreakBefore w:val="0"/>
        <w:kinsoku/>
        <w:topLinePunct w:val="0"/>
        <w:bidi w:val="0"/>
        <w:spacing w:line="360" w:lineRule="auto"/>
        <w:ind w:firstLine="480"/>
        <w:textAlignment w:val="auto"/>
        <w:rPr>
          <w:color w:val="auto"/>
          <w:highlight w:val="none"/>
        </w:rPr>
      </w:pP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采购人</w:t>
      </w:r>
      <w:r>
        <w:rPr>
          <w:rFonts w:hint="eastAsia"/>
          <w:color w:val="auto"/>
          <w:highlight w:val="none"/>
        </w:rPr>
        <w:t>名称）：</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1．我方已仔细研究了</w:t>
      </w:r>
      <w:r>
        <w:rPr>
          <w:rFonts w:hint="eastAsia"/>
          <w:color w:val="auto"/>
          <w:highlight w:val="none"/>
          <w:u w:val="single"/>
        </w:rPr>
        <w:t xml:space="preserve">                 </w:t>
      </w:r>
      <w:r>
        <w:rPr>
          <w:rFonts w:hint="eastAsia"/>
          <w:color w:val="auto"/>
          <w:highlight w:val="none"/>
        </w:rPr>
        <w:t>（项目名称）</w:t>
      </w:r>
      <w:r>
        <w:rPr>
          <w:rFonts w:hint="eastAsia"/>
          <w:color w:val="auto"/>
          <w:highlight w:val="none"/>
          <w:lang w:eastAsia="zh-CN"/>
        </w:rPr>
        <w:t>询比采购</w:t>
      </w:r>
      <w:r>
        <w:rPr>
          <w:rFonts w:hint="eastAsia"/>
          <w:color w:val="auto"/>
          <w:highlight w:val="none"/>
        </w:rPr>
        <w:t>文件的全部内容</w:t>
      </w:r>
      <w:r>
        <w:rPr>
          <w:rFonts w:hint="eastAsia"/>
          <w:color w:val="auto"/>
          <w:highlight w:val="none"/>
          <w:lang w:eastAsia="zh-CN"/>
        </w:rPr>
        <w:t>，愿意以</w:t>
      </w:r>
      <w:r>
        <w:rPr>
          <w:rFonts w:hint="eastAsia"/>
          <w:color w:val="auto"/>
          <w:highlight w:val="none"/>
          <w:lang w:val="en-US" w:eastAsia="zh-CN"/>
        </w:rPr>
        <w:t>费用</w:t>
      </w:r>
      <w:r>
        <w:rPr>
          <w:rFonts w:hint="eastAsia"/>
          <w:color w:val="auto"/>
          <w:highlight w:val="none"/>
          <w:u w:val="single"/>
          <w:lang w:val="en-US" w:eastAsia="zh-CN"/>
        </w:rPr>
        <w:t xml:space="preserve">    </w:t>
      </w:r>
      <w:r>
        <w:rPr>
          <w:rFonts w:hint="eastAsia"/>
          <w:color w:val="auto"/>
          <w:highlight w:val="none"/>
          <w:lang w:val="en-US" w:eastAsia="zh-CN"/>
        </w:rPr>
        <w:t>元</w:t>
      </w:r>
      <w:r>
        <w:rPr>
          <w:rFonts w:hint="eastAsia"/>
          <w:color w:val="auto"/>
          <w:highlight w:val="none"/>
          <w:lang w:eastAsia="zh-CN"/>
        </w:rPr>
        <w:t>报价</w:t>
      </w:r>
      <w:r>
        <w:rPr>
          <w:rFonts w:hint="eastAsia"/>
          <w:color w:val="auto"/>
          <w:highlight w:val="none"/>
        </w:rPr>
        <w:t>，</w:t>
      </w:r>
      <w:r>
        <w:rPr>
          <w:rFonts w:hint="eastAsia"/>
          <w:color w:val="auto"/>
          <w:highlight w:val="none"/>
          <w:lang w:val="en-US" w:eastAsia="zh-CN"/>
        </w:rPr>
        <w:t>工期</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质量：</w:t>
      </w:r>
      <w:r>
        <w:rPr>
          <w:rFonts w:hint="eastAsia"/>
          <w:color w:val="auto"/>
          <w:highlight w:val="none"/>
          <w:u w:val="single"/>
          <w:lang w:val="en-US" w:eastAsia="zh-CN"/>
        </w:rPr>
        <w:t xml:space="preserve">          </w:t>
      </w:r>
      <w:r>
        <w:rPr>
          <w:rFonts w:hint="eastAsia"/>
          <w:color w:val="auto"/>
          <w:highlight w:val="none"/>
          <w:u w:val="none"/>
          <w:lang w:val="en-US" w:eastAsia="zh-CN"/>
        </w:rPr>
        <w:t>，</w:t>
      </w:r>
      <w:r>
        <w:rPr>
          <w:rFonts w:hint="eastAsia"/>
          <w:color w:val="auto"/>
          <w:highlight w:val="none"/>
        </w:rPr>
        <w:t>按合同约定完成</w:t>
      </w:r>
      <w:r>
        <w:rPr>
          <w:rFonts w:hint="eastAsia"/>
          <w:color w:val="auto"/>
          <w:highlight w:val="none"/>
          <w:lang w:val="en-US" w:eastAsia="zh-CN"/>
        </w:rPr>
        <w:t>规划核实</w:t>
      </w:r>
      <w:r>
        <w:rPr>
          <w:rFonts w:hint="eastAsia"/>
          <w:color w:val="auto"/>
          <w:highlight w:val="none"/>
        </w:rPr>
        <w:t>工作。</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2.我方的</w:t>
      </w:r>
      <w:r>
        <w:rPr>
          <w:rFonts w:hint="eastAsia"/>
          <w:color w:val="auto"/>
          <w:highlight w:val="none"/>
          <w:lang w:eastAsia="zh-CN"/>
        </w:rPr>
        <w:t>响应</w:t>
      </w:r>
      <w:r>
        <w:rPr>
          <w:rFonts w:hint="eastAsia"/>
          <w:color w:val="auto"/>
          <w:highlight w:val="none"/>
        </w:rPr>
        <w:t>文件包括下列内容：</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（1）</w:t>
      </w:r>
      <w:r>
        <w:rPr>
          <w:rFonts w:hint="eastAsia"/>
          <w:color w:val="auto"/>
          <w:highlight w:val="none"/>
          <w:lang w:eastAsia="zh-CN"/>
        </w:rPr>
        <w:t>报价</w:t>
      </w:r>
      <w:r>
        <w:rPr>
          <w:rFonts w:hint="eastAsia"/>
          <w:color w:val="auto"/>
          <w:highlight w:val="none"/>
        </w:rPr>
        <w:t>函及</w:t>
      </w:r>
      <w:r>
        <w:rPr>
          <w:rFonts w:hint="eastAsia"/>
          <w:color w:val="auto"/>
          <w:highlight w:val="none"/>
          <w:lang w:eastAsia="zh-CN"/>
        </w:rPr>
        <w:t>报价</w:t>
      </w:r>
      <w:r>
        <w:rPr>
          <w:rFonts w:hint="eastAsia"/>
          <w:color w:val="auto"/>
          <w:highlight w:val="none"/>
        </w:rPr>
        <w:t>函附录；</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（2）法定代表人身份证明或授权委托书；</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规划核实</w:t>
      </w:r>
      <w:r>
        <w:rPr>
          <w:rFonts w:hint="eastAsia"/>
          <w:color w:val="auto"/>
          <w:highlight w:val="none"/>
        </w:rPr>
        <w:t>费用清单</w:t>
      </w:r>
      <w:r>
        <w:rPr>
          <w:rFonts w:hint="eastAsia"/>
          <w:color w:val="auto"/>
          <w:highlight w:val="none"/>
          <w:lang w:eastAsia="zh-CN"/>
        </w:rPr>
        <w:t>说明</w:t>
      </w:r>
      <w:r>
        <w:rPr>
          <w:rFonts w:hint="eastAsia"/>
          <w:color w:val="auto"/>
          <w:highlight w:val="none"/>
        </w:rPr>
        <w:t>；</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）资格审查资料；</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规划核实</w:t>
      </w:r>
      <w:r>
        <w:rPr>
          <w:rFonts w:hint="eastAsia"/>
          <w:color w:val="auto"/>
          <w:highlight w:val="none"/>
        </w:rPr>
        <w:t>方案；</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）其他资料。</w:t>
      </w:r>
    </w:p>
    <w:p>
      <w:pPr>
        <w:pageBreakBefore w:val="0"/>
        <w:kinsoku/>
        <w:topLinePunct w:val="0"/>
        <w:bidi w:val="0"/>
        <w:spacing w:line="360" w:lineRule="auto"/>
        <w:ind w:firstLine="480"/>
        <w:textAlignment w:val="auto"/>
        <w:rPr>
          <w:color w:val="auto"/>
          <w:highlight w:val="none"/>
        </w:rPr>
      </w:pPr>
      <w:r>
        <w:rPr>
          <w:rFonts w:hint="eastAsia"/>
          <w:color w:val="auto"/>
          <w:highlight w:val="none"/>
          <w:lang w:eastAsia="zh-CN"/>
        </w:rPr>
        <w:t>响应</w:t>
      </w:r>
      <w:r>
        <w:rPr>
          <w:rFonts w:hint="eastAsia"/>
          <w:color w:val="auto"/>
          <w:highlight w:val="none"/>
        </w:rPr>
        <w:t>文件的上述组成部分如存在内容不一致的，以</w:t>
      </w:r>
      <w:r>
        <w:rPr>
          <w:rFonts w:hint="eastAsia"/>
          <w:color w:val="auto"/>
          <w:highlight w:val="none"/>
          <w:lang w:eastAsia="zh-CN"/>
        </w:rPr>
        <w:t>报价</w:t>
      </w:r>
      <w:r>
        <w:rPr>
          <w:rFonts w:hint="eastAsia"/>
          <w:color w:val="auto"/>
          <w:highlight w:val="none"/>
        </w:rPr>
        <w:t>函为准。</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3．我方承诺在</w:t>
      </w:r>
      <w:r>
        <w:rPr>
          <w:rFonts w:hint="eastAsia"/>
          <w:color w:val="auto"/>
          <w:highlight w:val="none"/>
          <w:lang w:val="en-US" w:eastAsia="zh-CN"/>
        </w:rPr>
        <w:t>询比</w:t>
      </w:r>
      <w:r>
        <w:rPr>
          <w:rFonts w:hint="eastAsia"/>
          <w:color w:val="auto"/>
          <w:highlight w:val="none"/>
        </w:rPr>
        <w:t>文件规定的有效期内不撤销</w:t>
      </w:r>
      <w:r>
        <w:rPr>
          <w:rFonts w:hint="eastAsia"/>
          <w:color w:val="auto"/>
          <w:highlight w:val="none"/>
          <w:lang w:val="en-US" w:eastAsia="zh-CN"/>
        </w:rPr>
        <w:t>响应</w:t>
      </w:r>
      <w:r>
        <w:rPr>
          <w:rFonts w:hint="eastAsia"/>
          <w:color w:val="auto"/>
          <w:highlight w:val="none"/>
        </w:rPr>
        <w:t>文件。</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4．如我方</w:t>
      </w:r>
      <w:r>
        <w:rPr>
          <w:rFonts w:hint="eastAsia"/>
          <w:color w:val="auto"/>
          <w:highlight w:val="none"/>
          <w:lang w:val="en-US" w:eastAsia="zh-CN"/>
        </w:rPr>
        <w:t>成为成交人</w:t>
      </w:r>
      <w:r>
        <w:rPr>
          <w:rFonts w:hint="eastAsia"/>
          <w:color w:val="auto"/>
          <w:highlight w:val="none"/>
        </w:rPr>
        <w:t>，我方承诺：</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（1）在收到</w:t>
      </w:r>
      <w:r>
        <w:rPr>
          <w:rFonts w:hint="eastAsia"/>
          <w:color w:val="auto"/>
          <w:highlight w:val="none"/>
          <w:lang w:eastAsia="zh-CN"/>
        </w:rPr>
        <w:t>成交</w:t>
      </w:r>
      <w:r>
        <w:rPr>
          <w:rFonts w:hint="eastAsia"/>
          <w:color w:val="auto"/>
          <w:highlight w:val="none"/>
        </w:rPr>
        <w:t>通知书后，在</w:t>
      </w:r>
      <w:r>
        <w:rPr>
          <w:rFonts w:hint="eastAsia"/>
          <w:color w:val="auto"/>
          <w:highlight w:val="none"/>
          <w:lang w:eastAsia="zh-CN"/>
        </w:rPr>
        <w:t>成交</w:t>
      </w:r>
      <w:r>
        <w:rPr>
          <w:rFonts w:hint="eastAsia"/>
          <w:color w:val="auto"/>
          <w:highlight w:val="none"/>
        </w:rPr>
        <w:t>通知书规定的期限内与你方签订合同；</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（2）在签订合同时不向你方提出附加条件；</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）在合同约定的期限内完成合同规定的全部义务。</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5．我方在此声明，所递交的</w:t>
      </w:r>
      <w:r>
        <w:rPr>
          <w:rFonts w:hint="eastAsia"/>
          <w:color w:val="auto"/>
          <w:highlight w:val="none"/>
          <w:lang w:eastAsia="zh-CN"/>
        </w:rPr>
        <w:t>响应</w:t>
      </w:r>
      <w:r>
        <w:rPr>
          <w:rFonts w:hint="eastAsia"/>
          <w:color w:val="auto"/>
          <w:highlight w:val="none"/>
        </w:rPr>
        <w:t>文件及有关资料内容完整、真实和准确，且不存在第二章“</w:t>
      </w:r>
      <w:r>
        <w:rPr>
          <w:rFonts w:hint="eastAsia"/>
          <w:color w:val="auto"/>
          <w:highlight w:val="none"/>
          <w:lang w:eastAsia="zh-CN"/>
        </w:rPr>
        <w:t>供应商</w:t>
      </w:r>
      <w:r>
        <w:rPr>
          <w:rFonts w:hint="eastAsia"/>
          <w:color w:val="auto"/>
          <w:highlight w:val="none"/>
        </w:rPr>
        <w:t>须知”第 1.4.3 项规定的任何一种情形。</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6．</w:t>
      </w:r>
      <w:r>
        <w:rPr>
          <w:rFonts w:hint="eastAsia"/>
          <w:color w:val="auto"/>
          <w:highlight w:val="none"/>
          <w:u w:val="single"/>
        </w:rPr>
        <w:t xml:space="preserve">               </w:t>
      </w:r>
      <w:r>
        <w:rPr>
          <w:rFonts w:hint="eastAsia"/>
          <w:color w:val="auto"/>
          <w:highlight w:val="none"/>
        </w:rPr>
        <w:t>（其他补充说明）。</w:t>
      </w:r>
    </w:p>
    <w:p>
      <w:pPr>
        <w:pageBreakBefore w:val="0"/>
        <w:kinsoku/>
        <w:topLinePunct w:val="0"/>
        <w:bidi w:val="0"/>
        <w:spacing w:line="360" w:lineRule="auto"/>
        <w:ind w:firstLine="2730" w:firstLineChars="1300"/>
        <w:textAlignment w:val="auto"/>
        <w:rPr>
          <w:color w:val="auto"/>
          <w:highlight w:val="none"/>
        </w:rPr>
      </w:pPr>
      <w:r>
        <w:rPr>
          <w:rFonts w:hint="eastAsia"/>
          <w:color w:val="auto"/>
          <w:highlight w:val="none"/>
          <w:lang w:eastAsia="zh-CN"/>
        </w:rPr>
        <w:t>询比采购响应人</w:t>
      </w:r>
      <w:r>
        <w:rPr>
          <w:rFonts w:hint="eastAsia"/>
          <w:color w:val="auto"/>
          <w:highlight w:val="none"/>
        </w:rPr>
        <w:t>：</w:t>
      </w:r>
      <w:r>
        <w:rPr>
          <w:rFonts w:hint="eastAsia"/>
          <w:color w:val="auto"/>
          <w:highlight w:val="none"/>
          <w:u w:val="single"/>
        </w:rPr>
        <w:t xml:space="preserve">                   </w:t>
      </w:r>
      <w:r>
        <w:rPr>
          <w:rFonts w:hint="eastAsia"/>
          <w:color w:val="auto"/>
          <w:highlight w:val="none"/>
        </w:rPr>
        <w:t>（盖单位章）</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法定代表人或其委托代理人：</w:t>
      </w:r>
      <w:r>
        <w:rPr>
          <w:rFonts w:hint="eastAsia"/>
          <w:color w:val="auto"/>
          <w:highlight w:val="none"/>
          <w:u w:val="single"/>
        </w:rPr>
        <w:t xml:space="preserve">              </w:t>
      </w:r>
      <w:r>
        <w:rPr>
          <w:rFonts w:hint="eastAsia"/>
          <w:color w:val="auto"/>
          <w:highlight w:val="none"/>
        </w:rPr>
        <w:t>（签字）</w:t>
      </w:r>
    </w:p>
    <w:p>
      <w:pPr>
        <w:pageBreakBefore w:val="0"/>
        <w:kinsoku/>
        <w:topLinePunct w:val="0"/>
        <w:bidi w:val="0"/>
        <w:spacing w:line="360" w:lineRule="auto"/>
        <w:ind w:firstLine="2730" w:firstLineChars="1300"/>
        <w:textAlignment w:val="auto"/>
        <w:rPr>
          <w:color w:val="auto"/>
          <w:highlight w:val="none"/>
          <w:u w:val="single"/>
        </w:rPr>
      </w:pPr>
      <w:r>
        <w:rPr>
          <w:rFonts w:hint="eastAsia"/>
          <w:color w:val="auto"/>
          <w:highlight w:val="none"/>
        </w:rPr>
        <w:t>地</w:t>
      </w:r>
      <w:r>
        <w:rPr>
          <w:rFonts w:hint="eastAsia"/>
          <w:color w:val="auto"/>
          <w:highlight w:val="none"/>
        </w:rPr>
        <w:tab/>
      </w:r>
      <w:r>
        <w:rPr>
          <w:rFonts w:hint="eastAsia"/>
          <w:color w:val="auto"/>
          <w:highlight w:val="none"/>
        </w:rPr>
        <w:t>址：</w:t>
      </w:r>
      <w:r>
        <w:rPr>
          <w:rFonts w:hint="eastAsia"/>
          <w:color w:val="auto"/>
          <w:highlight w:val="none"/>
          <w:u w:val="single"/>
        </w:rPr>
        <w:t xml:space="preserve">                                       </w:t>
      </w:r>
    </w:p>
    <w:p>
      <w:pPr>
        <w:pageBreakBefore w:val="0"/>
        <w:kinsoku/>
        <w:topLinePunct w:val="0"/>
        <w:bidi w:val="0"/>
        <w:spacing w:line="360" w:lineRule="auto"/>
        <w:ind w:firstLine="2730" w:firstLineChars="1300"/>
        <w:textAlignment w:val="auto"/>
        <w:rPr>
          <w:color w:val="auto"/>
          <w:highlight w:val="none"/>
        </w:rPr>
      </w:pPr>
      <w:r>
        <w:rPr>
          <w:rFonts w:hint="eastAsia"/>
          <w:color w:val="auto"/>
          <w:highlight w:val="none"/>
        </w:rPr>
        <w:t>网</w:t>
      </w:r>
      <w:r>
        <w:rPr>
          <w:rFonts w:hint="eastAsia"/>
          <w:color w:val="auto"/>
          <w:highlight w:val="none"/>
        </w:rPr>
        <w:tab/>
      </w:r>
      <w:r>
        <w:rPr>
          <w:rFonts w:hint="eastAsia"/>
          <w:color w:val="auto"/>
          <w:highlight w:val="none"/>
        </w:rPr>
        <w:t>址：</w:t>
      </w:r>
      <w:r>
        <w:rPr>
          <w:rFonts w:hint="eastAsia"/>
          <w:color w:val="auto"/>
          <w:highlight w:val="none"/>
          <w:u w:val="single"/>
        </w:rPr>
        <w:t xml:space="preserve">                                       </w:t>
      </w:r>
    </w:p>
    <w:p>
      <w:pPr>
        <w:pageBreakBefore w:val="0"/>
        <w:kinsoku/>
        <w:topLinePunct w:val="0"/>
        <w:bidi w:val="0"/>
        <w:spacing w:line="360" w:lineRule="auto"/>
        <w:ind w:firstLine="2730" w:firstLineChars="1300"/>
        <w:textAlignment w:val="auto"/>
        <w:rPr>
          <w:color w:val="auto"/>
          <w:highlight w:val="none"/>
        </w:rPr>
      </w:pPr>
      <w:r>
        <w:rPr>
          <w:rFonts w:hint="eastAsia"/>
          <w:color w:val="auto"/>
          <w:highlight w:val="none"/>
        </w:rPr>
        <w:t>电</w:t>
      </w:r>
      <w:r>
        <w:rPr>
          <w:rFonts w:hint="eastAsia"/>
          <w:color w:val="auto"/>
          <w:highlight w:val="none"/>
        </w:rPr>
        <w:tab/>
      </w:r>
      <w:r>
        <w:rPr>
          <w:rFonts w:hint="eastAsia"/>
          <w:color w:val="auto"/>
          <w:highlight w:val="none"/>
        </w:rPr>
        <w:t>话：</w:t>
      </w:r>
      <w:r>
        <w:rPr>
          <w:rFonts w:hint="eastAsia"/>
          <w:color w:val="auto"/>
          <w:highlight w:val="none"/>
          <w:u w:val="single"/>
        </w:rPr>
        <w:t xml:space="preserve">                                       </w:t>
      </w:r>
    </w:p>
    <w:p>
      <w:pPr>
        <w:pageBreakBefore w:val="0"/>
        <w:kinsoku/>
        <w:topLinePunct w:val="0"/>
        <w:bidi w:val="0"/>
        <w:spacing w:line="360" w:lineRule="auto"/>
        <w:ind w:firstLine="2730" w:firstLineChars="1300"/>
        <w:textAlignment w:val="auto"/>
        <w:rPr>
          <w:color w:val="auto"/>
          <w:highlight w:val="none"/>
        </w:rPr>
      </w:pPr>
      <w:r>
        <w:rPr>
          <w:rFonts w:hint="eastAsia"/>
          <w:color w:val="auto"/>
          <w:highlight w:val="none"/>
        </w:rPr>
        <w:t>传</w:t>
      </w:r>
      <w:r>
        <w:rPr>
          <w:rFonts w:hint="eastAsia"/>
          <w:color w:val="auto"/>
          <w:highlight w:val="none"/>
        </w:rPr>
        <w:tab/>
      </w:r>
      <w:r>
        <w:rPr>
          <w:rFonts w:hint="eastAsia"/>
          <w:color w:val="auto"/>
          <w:highlight w:val="none"/>
        </w:rPr>
        <w:t>真：</w:t>
      </w:r>
      <w:r>
        <w:rPr>
          <w:rFonts w:hint="eastAsia"/>
          <w:color w:val="auto"/>
          <w:highlight w:val="none"/>
          <w:u w:val="single"/>
        </w:rPr>
        <w:t xml:space="preserve">                                       </w:t>
      </w:r>
    </w:p>
    <w:p>
      <w:pPr>
        <w:pageBreakBefore w:val="0"/>
        <w:kinsoku/>
        <w:topLinePunct w:val="0"/>
        <w:bidi w:val="0"/>
        <w:spacing w:line="360" w:lineRule="auto"/>
        <w:ind w:firstLine="2730" w:firstLineChars="1300"/>
        <w:textAlignment w:val="auto"/>
        <w:rPr>
          <w:color w:val="auto"/>
          <w:highlight w:val="none"/>
        </w:rPr>
      </w:pPr>
      <w:r>
        <w:rPr>
          <w:rFonts w:hint="eastAsia"/>
          <w:color w:val="auto"/>
          <w:highlight w:val="none"/>
        </w:rPr>
        <w:t>邮政编码：</w:t>
      </w:r>
      <w:r>
        <w:rPr>
          <w:rFonts w:hint="eastAsia"/>
          <w:color w:val="auto"/>
          <w:highlight w:val="none"/>
          <w:u w:val="single"/>
        </w:rPr>
        <w:t xml:space="preserve">                                       </w:t>
      </w:r>
    </w:p>
    <w:p>
      <w:pPr>
        <w:pageBreakBefore w:val="0"/>
        <w:kinsoku/>
        <w:topLinePunct w:val="0"/>
        <w:bidi w:val="0"/>
        <w:spacing w:line="360" w:lineRule="auto"/>
        <w:ind w:firstLine="4935" w:firstLineChars="2350"/>
        <w:textAlignment w:val="auto"/>
        <w:rPr>
          <w:rFonts w:hint="eastAsia"/>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bookmarkStart w:id="154" w:name="_Toc493934761"/>
      <w:bookmarkEnd w:id="154"/>
      <w:bookmarkStart w:id="155" w:name="_Toc15000"/>
      <w:bookmarkEnd w:id="155"/>
      <w:bookmarkStart w:id="156" w:name="_Toc505160205"/>
      <w:bookmarkStart w:id="157" w:name="_Toc3020"/>
      <w:bookmarkStart w:id="158" w:name="_Toc13537"/>
    </w:p>
    <w:p>
      <w:pPr>
        <w:pageBreakBefore w:val="0"/>
        <w:kinsoku/>
        <w:topLinePunct w:val="0"/>
        <w:bidi w:val="0"/>
        <w:spacing w:line="360" w:lineRule="auto"/>
        <w:ind w:firstLine="3584" w:firstLineChars="1700"/>
        <w:jc w:val="both"/>
        <w:textAlignment w:val="auto"/>
        <w:rPr>
          <w:color w:val="auto"/>
          <w:highlight w:val="none"/>
        </w:rPr>
      </w:pPr>
      <w:r>
        <w:rPr>
          <w:rFonts w:hint="eastAsia"/>
          <w:b/>
          <w:bCs/>
          <w:color w:val="auto"/>
          <w:highlight w:val="none"/>
        </w:rPr>
        <w:t>（二）</w:t>
      </w:r>
      <w:r>
        <w:rPr>
          <w:rFonts w:hint="eastAsia"/>
          <w:b/>
          <w:bCs/>
          <w:color w:val="auto"/>
          <w:highlight w:val="none"/>
          <w:lang w:eastAsia="zh-CN"/>
        </w:rPr>
        <w:t>报价</w:t>
      </w:r>
      <w:r>
        <w:rPr>
          <w:rFonts w:hint="eastAsia"/>
          <w:b/>
          <w:bCs/>
          <w:color w:val="auto"/>
          <w:highlight w:val="none"/>
        </w:rPr>
        <w:t>函附录</w:t>
      </w:r>
      <w:bookmarkEnd w:id="156"/>
      <w:bookmarkEnd w:id="157"/>
      <w:bookmarkEnd w:id="158"/>
    </w:p>
    <w:tbl>
      <w:tblPr>
        <w:tblStyle w:val="37"/>
        <w:tblW w:w="9439" w:type="dxa"/>
        <w:jc w:val="center"/>
        <w:tblLayout w:type="fixed"/>
        <w:tblCellMar>
          <w:top w:w="0" w:type="dxa"/>
          <w:left w:w="108" w:type="dxa"/>
          <w:bottom w:w="0" w:type="dxa"/>
          <w:right w:w="108" w:type="dxa"/>
        </w:tblCellMar>
      </w:tblPr>
      <w:tblGrid>
        <w:gridCol w:w="2183"/>
        <w:gridCol w:w="7256"/>
      </w:tblGrid>
      <w:tr>
        <w:tblPrEx>
          <w:tblCellMar>
            <w:top w:w="0" w:type="dxa"/>
            <w:left w:w="108" w:type="dxa"/>
            <w:bottom w:w="0" w:type="dxa"/>
            <w:right w:w="108" w:type="dxa"/>
          </w:tblCellMar>
        </w:tblPrEx>
        <w:trPr>
          <w:trHeight w:val="473"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项目名称、项目编号</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color w:val="auto"/>
                <w:highlight w:val="none"/>
                <w:lang w:val="en-US" w:eastAsia="zh-CN"/>
              </w:rPr>
            </w:pPr>
            <w:r>
              <w:rPr>
                <w:rFonts w:hint="eastAsia"/>
                <w:color w:val="auto"/>
                <w:highlight w:val="none"/>
                <w:lang w:val="en-US" w:eastAsia="zh-CN"/>
              </w:rPr>
              <w:t xml:space="preserve">郑州市石佛水厂改造工程-竣工规划核实、土地核验测绘 （二次）      </w:t>
            </w:r>
          </w:p>
          <w:p>
            <w:pPr>
              <w:pStyle w:val="84"/>
              <w:pageBreakBefore w:val="0"/>
              <w:kinsoku/>
              <w:topLinePunct w:val="0"/>
              <w:bidi w:val="0"/>
              <w:spacing w:line="360" w:lineRule="auto"/>
              <w:jc w:val="center"/>
              <w:textAlignment w:val="auto"/>
              <w:rPr>
                <w:color w:val="auto"/>
                <w:highlight w:val="none"/>
              </w:rPr>
            </w:pPr>
            <w:r>
              <w:rPr>
                <w:rFonts w:hint="eastAsia"/>
                <w:color w:val="auto"/>
                <w:highlight w:val="none"/>
                <w:lang w:val="en-US" w:eastAsia="zh-CN"/>
              </w:rPr>
              <w:t xml:space="preserve"> 编号：ZSSFGZ-2025-CF001</w:t>
            </w:r>
          </w:p>
        </w:tc>
      </w:tr>
      <w:tr>
        <w:tblPrEx>
          <w:tblCellMar>
            <w:top w:w="0" w:type="dxa"/>
            <w:left w:w="108" w:type="dxa"/>
            <w:bottom w:w="0" w:type="dxa"/>
            <w:right w:w="108" w:type="dxa"/>
          </w:tblCellMar>
        </w:tblPrEx>
        <w:trPr>
          <w:trHeight w:val="554"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eastAsia="宋体"/>
                <w:color w:val="auto"/>
                <w:highlight w:val="none"/>
                <w:lang w:eastAsia="zh-CN"/>
              </w:rPr>
            </w:pPr>
            <w:r>
              <w:rPr>
                <w:rFonts w:hint="eastAsia"/>
                <w:color w:val="auto"/>
                <w:highlight w:val="none"/>
                <w:lang w:eastAsia="zh-CN"/>
              </w:rPr>
              <w:t>供应商名称</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770"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eastAsiaTheme="minorEastAsia"/>
                <w:color w:val="auto"/>
                <w:highlight w:val="none"/>
                <w:lang w:eastAsia="zh-CN"/>
              </w:rPr>
            </w:pPr>
            <w:r>
              <w:rPr>
                <w:rFonts w:hint="eastAsia" w:cs="宋体" w:asciiTheme="minorEastAsia" w:hAnsiTheme="minorEastAsia" w:eastAsiaTheme="minorEastAsia"/>
                <w:color w:val="auto"/>
                <w:highlight w:val="none"/>
              </w:rPr>
              <w:t>询比采购</w:t>
            </w:r>
            <w:r>
              <w:rPr>
                <w:rFonts w:hint="eastAsia" w:cs="宋体" w:asciiTheme="minorEastAsia" w:hAnsiTheme="minorEastAsia" w:eastAsiaTheme="minorEastAsia"/>
                <w:color w:val="auto"/>
                <w:highlight w:val="none"/>
                <w:lang w:eastAsia="zh-CN"/>
              </w:rPr>
              <w:t>内容</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651"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eastAsia="宋体"/>
                <w:color w:val="auto"/>
                <w:highlight w:val="none"/>
                <w:lang w:eastAsia="zh-CN"/>
              </w:rPr>
            </w:pPr>
            <w:r>
              <w:rPr>
                <w:rFonts w:hint="eastAsia" w:cs="宋体" w:asciiTheme="minorEastAsia" w:hAnsiTheme="minorEastAsia" w:eastAsiaTheme="minorEastAsia"/>
                <w:color w:val="auto"/>
                <w:highlight w:val="none"/>
                <w:lang w:eastAsia="zh-CN"/>
              </w:rPr>
              <w:t>响应报价（</w:t>
            </w:r>
            <w:r>
              <w:rPr>
                <w:rFonts w:hint="eastAsia" w:cs="宋体" w:asciiTheme="minorEastAsia" w:hAnsiTheme="minorEastAsia" w:eastAsiaTheme="minorEastAsia"/>
                <w:color w:val="auto"/>
                <w:highlight w:val="none"/>
                <w:lang w:val="en-US" w:eastAsia="zh-CN"/>
              </w:rPr>
              <w:t>含税</w:t>
            </w:r>
            <w:r>
              <w:rPr>
                <w:rFonts w:hint="eastAsia" w:cs="宋体" w:asciiTheme="minorEastAsia" w:hAnsiTheme="minorEastAsia" w:eastAsiaTheme="minorEastAsia"/>
                <w:color w:val="auto"/>
                <w:highlight w:val="none"/>
                <w:lang w:eastAsia="zh-CN"/>
              </w:rPr>
              <w:t>）</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left"/>
              <w:textAlignment w:val="auto"/>
              <w:rPr>
                <w:rFonts w:hint="eastAsia"/>
                <w:b/>
                <w:bCs/>
                <w:color w:val="auto"/>
                <w:highlight w:val="none"/>
                <w:u w:val="none"/>
                <w:lang w:val="en-US" w:eastAsia="zh-CN"/>
              </w:rPr>
            </w:pPr>
            <w:r>
              <w:rPr>
                <w:rFonts w:hint="eastAsia"/>
                <w:b/>
                <w:bCs/>
                <w:color w:val="auto"/>
                <w:highlight w:val="none"/>
                <w:u w:val="none"/>
                <w:lang w:val="en-US" w:eastAsia="zh-CN"/>
              </w:rPr>
              <w:t>大写：</w:t>
            </w:r>
          </w:p>
          <w:p>
            <w:pPr>
              <w:pStyle w:val="84"/>
              <w:pageBreakBefore w:val="0"/>
              <w:kinsoku/>
              <w:topLinePunct w:val="0"/>
              <w:bidi w:val="0"/>
              <w:spacing w:line="360" w:lineRule="auto"/>
              <w:jc w:val="both"/>
              <w:textAlignment w:val="auto"/>
              <w:rPr>
                <w:rFonts w:hint="default" w:eastAsia="宋体"/>
                <w:color w:val="auto"/>
                <w:highlight w:val="none"/>
                <w:u w:val="none"/>
                <w:lang w:val="en-US" w:eastAsia="zh-CN"/>
              </w:rPr>
            </w:pPr>
            <w:r>
              <w:rPr>
                <w:rFonts w:hint="eastAsia"/>
                <w:b/>
                <w:bCs/>
                <w:color w:val="auto"/>
                <w:highlight w:val="none"/>
                <w:u w:val="none"/>
                <w:lang w:val="en-US" w:eastAsia="zh-CN"/>
              </w:rPr>
              <w:t>小写：</w:t>
            </w:r>
          </w:p>
        </w:tc>
      </w:tr>
      <w:tr>
        <w:tblPrEx>
          <w:tblCellMar>
            <w:top w:w="0" w:type="dxa"/>
            <w:left w:w="108" w:type="dxa"/>
            <w:bottom w:w="0" w:type="dxa"/>
            <w:right w:w="108" w:type="dxa"/>
          </w:tblCellMar>
        </w:tblPrEx>
        <w:trPr>
          <w:trHeight w:val="708"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eastAsia="宋体"/>
                <w:color w:val="auto"/>
                <w:highlight w:val="none"/>
                <w:lang w:val="en-US" w:eastAsia="zh-CN"/>
              </w:rPr>
            </w:pPr>
            <w:r>
              <w:rPr>
                <w:rFonts w:hint="eastAsia"/>
                <w:color w:val="auto"/>
                <w:highlight w:val="none"/>
              </w:rPr>
              <w:t>质量</w:t>
            </w:r>
            <w:r>
              <w:rPr>
                <w:rFonts w:hint="eastAsia"/>
                <w:color w:val="auto"/>
                <w:highlight w:val="none"/>
                <w:lang w:val="en-US" w:eastAsia="zh-CN"/>
              </w:rPr>
              <w:t>要求</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851"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eastAsia="宋体"/>
                <w:color w:val="auto"/>
                <w:highlight w:val="none"/>
                <w:lang w:eastAsia="zh-CN"/>
              </w:rPr>
            </w:pPr>
            <w:r>
              <w:rPr>
                <w:rFonts w:hint="eastAsia"/>
                <w:color w:val="auto"/>
                <w:highlight w:val="none"/>
                <w:lang w:val="en-US" w:eastAsia="zh-CN"/>
              </w:rPr>
              <w:t>工期</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851"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default" w:eastAsia="宋体"/>
                <w:color w:val="auto"/>
                <w:highlight w:val="none"/>
                <w:lang w:val="en-US" w:eastAsia="zh-CN"/>
              </w:rPr>
            </w:pPr>
            <w:r>
              <w:rPr>
                <w:rFonts w:hint="eastAsia"/>
                <w:color w:val="auto"/>
                <w:highlight w:val="none"/>
                <w:lang w:val="en-US" w:eastAsia="zh-CN"/>
              </w:rPr>
              <w:t>项目负责人</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ind w:firstLine="1470" w:firstLineChars="700"/>
              <w:jc w:val="both"/>
              <w:textAlignment w:val="auto"/>
              <w:rPr>
                <w:rFonts w:hint="default" w:eastAsia="宋体"/>
                <w:color w:val="auto"/>
                <w:highlight w:val="none"/>
                <w:lang w:val="en-US" w:eastAsia="zh-CN"/>
              </w:rPr>
            </w:pPr>
            <w:r>
              <w:rPr>
                <w:rFonts w:hint="eastAsia"/>
                <w:color w:val="auto"/>
                <w:highlight w:val="none"/>
                <w:lang w:val="en-US" w:eastAsia="zh-CN"/>
              </w:rPr>
              <w:t xml:space="preserve">姓名：                  证书编号：        </w:t>
            </w:r>
          </w:p>
        </w:tc>
      </w:tr>
      <w:tr>
        <w:tblPrEx>
          <w:tblCellMar>
            <w:top w:w="0" w:type="dxa"/>
            <w:left w:w="108" w:type="dxa"/>
            <w:bottom w:w="0" w:type="dxa"/>
            <w:right w:w="108" w:type="dxa"/>
          </w:tblCellMar>
        </w:tblPrEx>
        <w:trPr>
          <w:trHeight w:val="851"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权利和义务</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符合第四章“合同条款及格式”中的实质性要求和条件</w:t>
            </w:r>
          </w:p>
        </w:tc>
      </w:tr>
      <w:tr>
        <w:tblPrEx>
          <w:tblCellMar>
            <w:top w:w="0" w:type="dxa"/>
            <w:left w:w="108" w:type="dxa"/>
            <w:bottom w:w="0" w:type="dxa"/>
            <w:right w:w="108" w:type="dxa"/>
          </w:tblCellMar>
        </w:tblPrEx>
        <w:trPr>
          <w:trHeight w:val="851"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成果文件</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我方承诺完全符合</w:t>
            </w:r>
            <w:r>
              <w:rPr>
                <w:rFonts w:hint="eastAsia"/>
                <w:color w:val="auto"/>
                <w:highlight w:val="none"/>
                <w:lang w:eastAsia="zh-CN"/>
              </w:rPr>
              <w:t>询比</w:t>
            </w:r>
            <w:r>
              <w:rPr>
                <w:rFonts w:hint="eastAsia"/>
                <w:color w:val="auto"/>
                <w:highlight w:val="none"/>
              </w:rPr>
              <w:t>文件第五章“</w:t>
            </w:r>
            <w:r>
              <w:rPr>
                <w:rFonts w:hint="eastAsia"/>
                <w:color w:val="auto"/>
                <w:highlight w:val="none"/>
                <w:lang w:eastAsia="zh-CN"/>
              </w:rPr>
              <w:t>委托人</w:t>
            </w:r>
            <w:r>
              <w:rPr>
                <w:rFonts w:hint="eastAsia"/>
                <w:color w:val="auto"/>
                <w:highlight w:val="none"/>
              </w:rPr>
              <w:t>要求”中的实质性要求和条件</w:t>
            </w:r>
          </w:p>
        </w:tc>
      </w:tr>
      <w:tr>
        <w:tblPrEx>
          <w:tblCellMar>
            <w:top w:w="0" w:type="dxa"/>
            <w:left w:w="108" w:type="dxa"/>
            <w:bottom w:w="0" w:type="dxa"/>
            <w:right w:w="108" w:type="dxa"/>
          </w:tblCellMar>
        </w:tblPrEx>
        <w:trPr>
          <w:trHeight w:val="508"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询比采购</w:t>
            </w:r>
            <w:r>
              <w:rPr>
                <w:rFonts w:hint="eastAsia"/>
                <w:color w:val="auto"/>
                <w:highlight w:val="none"/>
              </w:rPr>
              <w:t>有效期</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自</w:t>
            </w:r>
            <w:r>
              <w:rPr>
                <w:rFonts w:hint="eastAsia"/>
                <w:color w:val="auto"/>
                <w:highlight w:val="none"/>
                <w:lang w:val="en-US" w:eastAsia="zh-CN"/>
              </w:rPr>
              <w:t>响应</w:t>
            </w:r>
            <w:r>
              <w:rPr>
                <w:rFonts w:hint="eastAsia"/>
                <w:color w:val="auto"/>
                <w:highlight w:val="none"/>
              </w:rPr>
              <w:t xml:space="preserve">截止时间起 </w:t>
            </w:r>
            <w:r>
              <w:rPr>
                <w:rFonts w:hint="eastAsia"/>
                <w:color w:val="auto"/>
                <w:highlight w:val="none"/>
                <w:lang w:val="en-US" w:eastAsia="zh-CN"/>
              </w:rPr>
              <w:t>45</w:t>
            </w:r>
            <w:r>
              <w:rPr>
                <w:rFonts w:hint="eastAsia"/>
                <w:color w:val="auto"/>
                <w:highlight w:val="none"/>
              </w:rPr>
              <w:t>日历天</w:t>
            </w:r>
          </w:p>
        </w:tc>
      </w:tr>
      <w:tr>
        <w:tblPrEx>
          <w:tblCellMar>
            <w:top w:w="0" w:type="dxa"/>
            <w:left w:w="108" w:type="dxa"/>
            <w:bottom w:w="0" w:type="dxa"/>
            <w:right w:w="108" w:type="dxa"/>
          </w:tblCellMar>
        </w:tblPrEx>
        <w:trPr>
          <w:trHeight w:val="926"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响应人</w:t>
            </w:r>
            <w:r>
              <w:rPr>
                <w:rFonts w:hint="eastAsia"/>
                <w:color w:val="auto"/>
                <w:highlight w:val="none"/>
              </w:rPr>
              <w:t>业绩目录</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CellMar>
            <w:top w:w="0" w:type="dxa"/>
            <w:left w:w="108" w:type="dxa"/>
            <w:bottom w:w="0" w:type="dxa"/>
            <w:right w:w="108" w:type="dxa"/>
          </w:tblCellMar>
        </w:tblPrEx>
        <w:trPr>
          <w:trHeight w:val="926"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供应商</w:t>
            </w:r>
            <w:r>
              <w:rPr>
                <w:rFonts w:hint="eastAsia"/>
                <w:color w:val="auto"/>
                <w:highlight w:val="none"/>
              </w:rPr>
              <w:t>服务承诺</w:t>
            </w:r>
          </w:p>
        </w:tc>
        <w:tc>
          <w:tcPr>
            <w:tcW w:w="725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（可另附页）</w:t>
            </w:r>
          </w:p>
        </w:tc>
      </w:tr>
    </w:tbl>
    <w:p>
      <w:pPr>
        <w:pageBreakBefore w:val="0"/>
        <w:kinsoku/>
        <w:topLinePunct w:val="0"/>
        <w:bidi w:val="0"/>
        <w:spacing w:line="360" w:lineRule="auto"/>
        <w:ind w:firstLine="480"/>
        <w:textAlignment w:val="auto"/>
        <w:rPr>
          <w:color w:val="auto"/>
          <w:highlight w:val="none"/>
        </w:rPr>
      </w:pPr>
      <w:r>
        <w:rPr>
          <w:rFonts w:hint="eastAsia"/>
          <w:color w:val="auto"/>
          <w:highlight w:val="none"/>
        </w:rPr>
        <w:tab/>
      </w:r>
      <w:r>
        <w:rPr>
          <w:rFonts w:hint="eastAsia"/>
          <w:color w:val="auto"/>
          <w:highlight w:val="none"/>
        </w:rPr>
        <w:tab/>
      </w:r>
      <w:r>
        <w:rPr>
          <w:rFonts w:hint="eastAsia"/>
          <w:color w:val="auto"/>
          <w:highlight w:val="none"/>
        </w:rPr>
        <w:tab/>
      </w:r>
    </w:p>
    <w:p>
      <w:pPr>
        <w:pageBreakBefore w:val="0"/>
        <w:kinsoku/>
        <w:topLinePunct w:val="0"/>
        <w:bidi w:val="0"/>
        <w:spacing w:line="360" w:lineRule="auto"/>
        <w:ind w:firstLine="3045" w:firstLineChars="1450"/>
        <w:textAlignment w:val="auto"/>
        <w:rPr>
          <w:color w:val="auto"/>
          <w:highlight w:val="none"/>
        </w:rPr>
      </w:pPr>
      <w:r>
        <w:rPr>
          <w:rFonts w:hint="eastAsia"/>
          <w:color w:val="auto"/>
          <w:highlight w:val="none"/>
          <w:lang w:eastAsia="zh-CN"/>
        </w:rPr>
        <w:t>询比采购响应人</w:t>
      </w:r>
      <w:r>
        <w:rPr>
          <w:rFonts w:hint="eastAsia"/>
          <w:color w:val="auto"/>
          <w:highlight w:val="none"/>
        </w:rPr>
        <w:t>：</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（盖单位章）</w:t>
      </w:r>
      <w:r>
        <w:rPr>
          <w:rFonts w:hint="eastAsia"/>
          <w:color w:val="auto"/>
          <w:highlight w:val="none"/>
        </w:rPr>
        <w:tab/>
      </w:r>
    </w:p>
    <w:p>
      <w:pPr>
        <w:pageBreakBefore w:val="0"/>
        <w:kinsoku/>
        <w:topLinePunct w:val="0"/>
        <w:bidi w:val="0"/>
        <w:spacing w:line="360" w:lineRule="auto"/>
        <w:ind w:firstLine="1890" w:firstLineChars="900"/>
        <w:jc w:val="center"/>
        <w:textAlignment w:val="auto"/>
        <w:rPr>
          <w:color w:val="auto"/>
          <w:highlight w:val="none"/>
        </w:rPr>
      </w:pPr>
      <w:r>
        <w:rPr>
          <w:rFonts w:hint="eastAsia"/>
          <w:color w:val="auto"/>
          <w:highlight w:val="none"/>
          <w:lang w:val="en-US" w:eastAsia="zh-CN"/>
        </w:rPr>
        <w:t xml:space="preserve">      </w:t>
      </w:r>
      <w:r>
        <w:rPr>
          <w:rFonts w:hint="eastAsia"/>
          <w:color w:val="auto"/>
          <w:highlight w:val="none"/>
        </w:rPr>
        <w:t>法定代表人或其委托代理人：</w:t>
      </w:r>
      <w:r>
        <w:rPr>
          <w:rFonts w:hint="eastAsia"/>
          <w:color w:val="auto"/>
          <w:highlight w:val="none"/>
          <w:u w:val="single"/>
        </w:rPr>
        <w:tab/>
      </w:r>
      <w:r>
        <w:rPr>
          <w:rFonts w:hint="eastAsia"/>
          <w:color w:val="auto"/>
          <w:highlight w:val="none"/>
          <w:u w:val="single"/>
        </w:rPr>
        <w:tab/>
      </w:r>
      <w:r>
        <w:rPr>
          <w:rFonts w:hint="eastAsia"/>
          <w:color w:val="auto"/>
          <w:highlight w:val="none"/>
        </w:rPr>
        <w:t>（签字）</w:t>
      </w:r>
      <w:r>
        <w:rPr>
          <w:rFonts w:hint="eastAsia"/>
          <w:color w:val="auto"/>
          <w:highlight w:val="none"/>
        </w:rPr>
        <w:tab/>
      </w:r>
      <w:r>
        <w:rPr>
          <w:rFonts w:hint="eastAsia"/>
          <w:color w:val="auto"/>
          <w:highlight w:val="none"/>
        </w:rPr>
        <w:tab/>
      </w:r>
      <w:r>
        <w:rPr>
          <w:rFonts w:hint="eastAsia"/>
          <w:color w:val="auto"/>
          <w:highlight w:val="none"/>
        </w:rPr>
        <w:tab/>
      </w:r>
    </w:p>
    <w:p>
      <w:pPr>
        <w:pageBreakBefore w:val="0"/>
        <w:kinsoku/>
        <w:wordWrap w:val="0"/>
        <w:topLinePunct w:val="0"/>
        <w:bidi w:val="0"/>
        <w:spacing w:line="360" w:lineRule="auto"/>
        <w:ind w:firstLine="1890" w:firstLineChars="900"/>
        <w:jc w:val="right"/>
        <w:textAlignment w:val="auto"/>
        <w:rPr>
          <w:color w:val="auto"/>
          <w:highlight w:val="none"/>
        </w:rPr>
      </w:pPr>
      <w:r>
        <w:rPr>
          <w:rFonts w:hint="eastAsia"/>
          <w:color w:val="auto"/>
          <w:highlight w:val="none"/>
          <w:u w:val="single"/>
        </w:rPr>
        <w:tab/>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日</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p>
    <w:p>
      <w:pPr>
        <w:pageBreakBefore w:val="0"/>
        <w:kinsoku/>
        <w:topLinePunct w:val="0"/>
        <w:bidi w:val="0"/>
        <w:spacing w:line="360" w:lineRule="auto"/>
        <w:ind w:firstLine="480"/>
        <w:textAlignment w:val="auto"/>
        <w:rPr>
          <w:color w:val="auto"/>
          <w:highlight w:val="none"/>
        </w:rPr>
      </w:pPr>
      <w:r>
        <w:rPr>
          <w:rFonts w:hint="eastAsia"/>
          <w:color w:val="auto"/>
          <w:highlight w:val="none"/>
        </w:rPr>
        <w:br w:type="page"/>
      </w:r>
    </w:p>
    <w:p>
      <w:pPr>
        <w:pStyle w:val="5"/>
        <w:pageBreakBefore w:val="0"/>
        <w:kinsoku/>
        <w:topLinePunct w:val="0"/>
        <w:bidi w:val="0"/>
        <w:spacing w:line="360" w:lineRule="auto"/>
        <w:jc w:val="center"/>
        <w:textAlignment w:val="auto"/>
        <w:rPr>
          <w:color w:val="auto"/>
          <w:highlight w:val="none"/>
        </w:rPr>
      </w:pPr>
      <w:bookmarkStart w:id="159" w:name="_Toc493934762"/>
      <w:bookmarkEnd w:id="159"/>
      <w:bookmarkStart w:id="160" w:name="_Toc23599"/>
      <w:bookmarkEnd w:id="160"/>
      <w:bookmarkStart w:id="161" w:name="_Toc25072"/>
      <w:bookmarkStart w:id="162" w:name="_Toc19403"/>
      <w:bookmarkStart w:id="163" w:name="_Toc18666"/>
      <w:bookmarkStart w:id="164" w:name="_Toc505160206"/>
      <w:bookmarkStart w:id="165" w:name="_Toc30023"/>
      <w:r>
        <w:rPr>
          <w:rFonts w:hint="eastAsia" w:ascii="宋体" w:hAnsi="宋体" w:eastAsia="宋体" w:cs="宋体"/>
          <w:color w:val="auto"/>
          <w:highlight w:val="none"/>
        </w:rPr>
        <w:t>二、</w:t>
      </w:r>
      <w:bookmarkEnd w:id="161"/>
      <w:bookmarkEnd w:id="162"/>
      <w:bookmarkEnd w:id="163"/>
      <w:bookmarkEnd w:id="164"/>
      <w:r>
        <w:rPr>
          <w:rFonts w:hint="eastAsia" w:ascii="宋体" w:hAnsi="宋体" w:eastAsia="宋体" w:cs="宋体"/>
          <w:color w:val="auto"/>
          <w:sz w:val="28"/>
          <w:highlight w:val="none"/>
        </w:rPr>
        <w:t>法定代表人身份证明</w:t>
      </w:r>
      <w:bookmarkEnd w:id="165"/>
    </w:p>
    <w:p>
      <w:pPr>
        <w:pageBreakBefore w:val="0"/>
        <w:kinsoku/>
        <w:topLinePunct w:val="0"/>
        <w:bidi w:val="0"/>
        <w:spacing w:line="360" w:lineRule="auto"/>
        <w:textAlignment w:val="auto"/>
        <w:rPr>
          <w:color w:val="auto"/>
          <w:highlight w:val="none"/>
        </w:rPr>
      </w:pPr>
    </w:p>
    <w:p>
      <w:pPr>
        <w:pageBreakBefore w:val="0"/>
        <w:kinsoku/>
        <w:topLinePunct w:val="0"/>
        <w:bidi w:val="0"/>
        <w:spacing w:line="360" w:lineRule="auto"/>
        <w:ind w:firstLine="480"/>
        <w:textAlignment w:val="auto"/>
        <w:rPr>
          <w:color w:val="auto"/>
          <w:highlight w:val="none"/>
        </w:rPr>
      </w:pPr>
      <w:r>
        <w:rPr>
          <w:rFonts w:hint="eastAsia" w:ascii="宋体" w:hAnsi="宋体" w:cs="宋体"/>
          <w:color w:val="auto"/>
          <w:kern w:val="0"/>
          <w:szCs w:val="21"/>
          <w:highlight w:val="none"/>
        </w:rPr>
        <w:t>询比采购响应人</w:t>
      </w:r>
      <w:r>
        <w:rPr>
          <w:rFonts w:hint="eastAsia"/>
          <w:color w:val="auto"/>
          <w:highlight w:val="none"/>
        </w:rPr>
        <w:t>名称：</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rPr>
        <w:tab/>
      </w:r>
    </w:p>
    <w:p>
      <w:pPr>
        <w:pageBreakBefore w:val="0"/>
        <w:kinsoku/>
        <w:topLinePunct w:val="0"/>
        <w:bidi w:val="0"/>
        <w:spacing w:line="360" w:lineRule="auto"/>
        <w:ind w:firstLine="480"/>
        <w:textAlignment w:val="auto"/>
        <w:rPr>
          <w:color w:val="auto"/>
          <w:highlight w:val="none"/>
        </w:rPr>
      </w:pPr>
      <w:r>
        <w:rPr>
          <w:rFonts w:hint="eastAsia"/>
          <w:color w:val="auto"/>
          <w:highlight w:val="none"/>
        </w:rPr>
        <w:t>姓名：</w:t>
      </w:r>
      <w:r>
        <w:rPr>
          <w:rFonts w:hint="eastAsia"/>
          <w:color w:val="auto"/>
          <w:highlight w:val="none"/>
          <w:u w:val="single"/>
        </w:rPr>
        <w:tab/>
      </w:r>
      <w:r>
        <w:rPr>
          <w:rFonts w:hint="eastAsia"/>
          <w:color w:val="auto"/>
          <w:highlight w:val="none"/>
          <w:u w:val="single"/>
        </w:rPr>
        <w:tab/>
      </w:r>
      <w:r>
        <w:rPr>
          <w:rFonts w:hint="eastAsia"/>
          <w:color w:val="auto"/>
          <w:highlight w:val="none"/>
        </w:rPr>
        <w:t>性别：</w:t>
      </w:r>
      <w:r>
        <w:rPr>
          <w:rFonts w:hint="eastAsia"/>
          <w:color w:val="auto"/>
          <w:highlight w:val="none"/>
          <w:u w:val="single"/>
        </w:rPr>
        <w:tab/>
      </w:r>
      <w:r>
        <w:rPr>
          <w:rFonts w:hint="eastAsia"/>
          <w:color w:val="auto"/>
          <w:highlight w:val="none"/>
          <w:u w:val="single"/>
        </w:rPr>
        <w:tab/>
      </w:r>
      <w:r>
        <w:rPr>
          <w:rFonts w:hint="eastAsia"/>
          <w:color w:val="auto"/>
          <w:highlight w:val="none"/>
        </w:rPr>
        <w:t>年龄：</w:t>
      </w:r>
      <w:r>
        <w:rPr>
          <w:rFonts w:hint="eastAsia"/>
          <w:color w:val="auto"/>
          <w:highlight w:val="none"/>
          <w:u w:val="single"/>
        </w:rPr>
        <w:tab/>
      </w:r>
      <w:r>
        <w:rPr>
          <w:rFonts w:hint="eastAsia"/>
          <w:color w:val="auto"/>
          <w:highlight w:val="none"/>
          <w:u w:val="single"/>
        </w:rPr>
        <w:tab/>
      </w:r>
      <w:r>
        <w:rPr>
          <w:rFonts w:hint="eastAsia"/>
          <w:color w:val="auto"/>
          <w:highlight w:val="none"/>
        </w:rPr>
        <w:t>职务：</w:t>
      </w:r>
      <w:r>
        <w:rPr>
          <w:rFonts w:hint="eastAsia"/>
          <w:color w:val="auto"/>
          <w:highlight w:val="none"/>
          <w:u w:val="single"/>
        </w:rPr>
        <w:tab/>
      </w:r>
      <w:r>
        <w:rPr>
          <w:rFonts w:hint="eastAsia"/>
          <w:color w:val="auto"/>
          <w:highlight w:val="none"/>
          <w:u w:val="single"/>
        </w:rPr>
        <w:tab/>
      </w:r>
    </w:p>
    <w:p>
      <w:pPr>
        <w:pageBreakBefore w:val="0"/>
        <w:kinsoku/>
        <w:topLinePunct w:val="0"/>
        <w:bidi w:val="0"/>
        <w:spacing w:line="360" w:lineRule="auto"/>
        <w:ind w:firstLine="480"/>
        <w:textAlignment w:val="auto"/>
        <w:rPr>
          <w:color w:val="auto"/>
          <w:highlight w:val="none"/>
        </w:rPr>
      </w:pPr>
      <w:r>
        <w:rPr>
          <w:rFonts w:hint="eastAsia"/>
          <w:color w:val="auto"/>
          <w:highlight w:val="none"/>
        </w:rPr>
        <w:t>系</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询比采购响应人</w:t>
      </w:r>
      <w:r>
        <w:rPr>
          <w:rFonts w:hint="eastAsia"/>
          <w:color w:val="auto"/>
          <w:highlight w:val="none"/>
        </w:rPr>
        <w:t>名称）的法定代表人。</w:t>
      </w:r>
    </w:p>
    <w:p>
      <w:pPr>
        <w:pageBreakBefore w:val="0"/>
        <w:kinsoku/>
        <w:topLinePunct w:val="0"/>
        <w:bidi w:val="0"/>
        <w:spacing w:line="360" w:lineRule="auto"/>
        <w:ind w:firstLine="840" w:firstLineChars="400"/>
        <w:textAlignment w:val="auto"/>
        <w:rPr>
          <w:color w:val="auto"/>
          <w:highlight w:val="none"/>
        </w:rPr>
      </w:pPr>
      <w:r>
        <w:rPr>
          <w:rFonts w:hint="eastAsia"/>
          <w:color w:val="auto"/>
          <w:highlight w:val="none"/>
        </w:rPr>
        <w:t>特此证明。</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附：</w:t>
      </w:r>
      <w:r>
        <w:rPr>
          <w:rFonts w:hint="eastAsia" w:cs="宋体"/>
          <w:color w:val="auto"/>
          <w:highlight w:val="none"/>
        </w:rPr>
        <w:t>法定代表人身份证扫描件</w:t>
      </w:r>
      <w:r>
        <w:rPr>
          <w:rFonts w:hint="eastAsia" w:cs="宋体"/>
          <w:color w:val="auto"/>
          <w:highlight w:val="none"/>
          <w:lang w:eastAsia="zh-CN"/>
        </w:rPr>
        <w:t>（</w:t>
      </w:r>
      <w:r>
        <w:rPr>
          <w:rFonts w:hint="eastAsia" w:cs="宋体"/>
          <w:color w:val="auto"/>
          <w:highlight w:val="none"/>
          <w:lang w:val="en-US" w:eastAsia="zh-CN"/>
        </w:rPr>
        <w:t>正反面）</w:t>
      </w:r>
      <w:r>
        <w:rPr>
          <w:rFonts w:hint="eastAsia"/>
          <w:color w:val="auto"/>
          <w:highlight w:val="none"/>
        </w:rPr>
        <w:t>。</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注：本身份证明需由</w:t>
      </w:r>
      <w:r>
        <w:rPr>
          <w:rFonts w:hint="eastAsia" w:ascii="宋体" w:hAnsi="宋体" w:cs="宋体"/>
          <w:color w:val="auto"/>
          <w:kern w:val="0"/>
          <w:szCs w:val="21"/>
          <w:highlight w:val="none"/>
        </w:rPr>
        <w:t>询比采购响应人</w:t>
      </w:r>
      <w:r>
        <w:rPr>
          <w:rFonts w:hint="eastAsia"/>
          <w:color w:val="auto"/>
          <w:highlight w:val="none"/>
        </w:rPr>
        <w:t>加盖单位公章。</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3570" w:firstLineChars="1700"/>
        <w:textAlignment w:val="auto"/>
        <w:rPr>
          <w:color w:val="auto"/>
          <w:highlight w:val="none"/>
        </w:rPr>
      </w:pPr>
      <w:r>
        <w:rPr>
          <w:rFonts w:hint="eastAsia"/>
          <w:color w:val="auto"/>
          <w:highlight w:val="none"/>
          <w:lang w:eastAsia="zh-CN"/>
        </w:rPr>
        <w:t>询比采购响应人</w:t>
      </w:r>
      <w:r>
        <w:rPr>
          <w:rFonts w:hint="eastAsia"/>
          <w:color w:val="auto"/>
          <w:highlight w:val="none"/>
        </w:rPr>
        <w:t>：</w:t>
      </w:r>
      <w:r>
        <w:rPr>
          <w:rFonts w:hint="eastAsia"/>
          <w:color w:val="auto"/>
          <w:highlight w:val="none"/>
          <w:u w:val="single"/>
        </w:rPr>
        <w:tab/>
      </w:r>
      <w:r>
        <w:rPr>
          <w:rFonts w:hint="eastAsia"/>
          <w:color w:val="auto"/>
          <w:highlight w:val="none"/>
          <w:u w:val="single"/>
        </w:rPr>
        <w:tab/>
      </w:r>
      <w:r>
        <w:rPr>
          <w:rFonts w:hint="eastAsia"/>
          <w:color w:val="auto"/>
          <w:highlight w:val="none"/>
        </w:rPr>
        <w:t>（盖单位章）</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5250" w:firstLineChars="2500"/>
        <w:textAlignment w:val="auto"/>
        <w:rPr>
          <w:color w:val="auto"/>
          <w:highlight w:val="none"/>
        </w:rPr>
      </w:pPr>
      <w:r>
        <w:rPr>
          <w:rFonts w:hint="eastAsia"/>
          <w:color w:val="auto"/>
          <w:highlight w:val="none"/>
          <w:u w:val="single"/>
        </w:rPr>
        <w:tab/>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日</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br w:type="page"/>
      </w:r>
    </w:p>
    <w:p>
      <w:pPr>
        <w:pStyle w:val="5"/>
        <w:numPr>
          <w:ilvl w:val="0"/>
          <w:numId w:val="0"/>
        </w:numPr>
        <w:spacing w:before="190" w:after="190"/>
        <w:jc w:val="center"/>
        <w:rPr>
          <w:rFonts w:hint="eastAsia" w:ascii="宋体" w:hAnsi="宋体" w:eastAsia="宋体" w:cs="宋体"/>
          <w:b/>
          <w:bCs/>
          <w:color w:val="auto"/>
          <w:sz w:val="32"/>
          <w:szCs w:val="32"/>
          <w:highlight w:val="none"/>
        </w:rPr>
      </w:pPr>
      <w:bookmarkStart w:id="166" w:name="_Toc2594"/>
      <w:bookmarkEnd w:id="166"/>
      <w:bookmarkStart w:id="167" w:name="_Toc493934763"/>
      <w:bookmarkEnd w:id="167"/>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bookmarkStart w:id="168" w:name="_Toc6819"/>
      <w:bookmarkStart w:id="169" w:name="_Toc16548"/>
      <w:bookmarkStart w:id="170" w:name="_Toc10097"/>
      <w:r>
        <w:rPr>
          <w:rFonts w:hint="eastAsia" w:ascii="宋体" w:hAnsi="宋体" w:eastAsia="宋体" w:cs="宋体"/>
          <w:b/>
          <w:bCs/>
          <w:color w:val="auto"/>
          <w:sz w:val="32"/>
          <w:szCs w:val="32"/>
          <w:highlight w:val="none"/>
          <w:lang w:val="en-US" w:eastAsia="zh-CN"/>
        </w:rPr>
        <w:t>法定代表人</w:t>
      </w:r>
      <w:r>
        <w:rPr>
          <w:rFonts w:hint="eastAsia" w:ascii="宋体" w:hAnsi="宋体" w:eastAsia="宋体" w:cs="宋体"/>
          <w:b/>
          <w:bCs/>
          <w:color w:val="auto"/>
          <w:sz w:val="32"/>
          <w:szCs w:val="32"/>
          <w:highlight w:val="none"/>
        </w:rPr>
        <w:t>授权委托书</w:t>
      </w:r>
      <w:bookmarkEnd w:id="168"/>
    </w:p>
    <w:bookmarkEnd w:id="169"/>
    <w:bookmarkEnd w:id="170"/>
    <w:p>
      <w:pPr>
        <w:pStyle w:val="5"/>
        <w:pageBreakBefore w:val="0"/>
        <w:kinsoku/>
        <w:topLinePunct w:val="0"/>
        <w:bidi w:val="0"/>
        <w:spacing w:line="360" w:lineRule="auto"/>
        <w:jc w:val="center"/>
        <w:textAlignment w:val="auto"/>
        <w:rPr>
          <w:color w:val="auto"/>
          <w:highlight w:val="none"/>
        </w:rPr>
      </w:pPr>
    </w:p>
    <w:p>
      <w:pPr>
        <w:pStyle w:val="5"/>
        <w:rPr>
          <w:color w:val="auto"/>
          <w:highlight w:val="none"/>
        </w:rPr>
      </w:pPr>
    </w:p>
    <w:p>
      <w:pPr>
        <w:pageBreakBefore w:val="0"/>
        <w:kinsoku/>
        <w:topLinePunct w:val="0"/>
        <w:bidi w:val="0"/>
        <w:spacing w:line="360" w:lineRule="auto"/>
        <w:ind w:firstLine="480"/>
        <w:textAlignment w:val="auto"/>
        <w:rPr>
          <w:color w:val="auto"/>
          <w:highlight w:val="none"/>
        </w:rPr>
      </w:pPr>
      <w:r>
        <w:rPr>
          <w:rFonts w:hint="eastAsia"/>
          <w:color w:val="auto"/>
          <w:highlight w:val="none"/>
        </w:rPr>
        <w:t>本人</w:t>
      </w:r>
      <w:r>
        <w:rPr>
          <w:rFonts w:hint="eastAsia"/>
          <w:color w:val="auto"/>
          <w:highlight w:val="none"/>
          <w:u w:val="single"/>
        </w:rPr>
        <w:tab/>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（姓名）系</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询比采购响应人</w:t>
      </w:r>
      <w:r>
        <w:rPr>
          <w:rFonts w:hint="eastAsia"/>
          <w:color w:val="auto"/>
          <w:highlight w:val="none"/>
        </w:rPr>
        <w:t>名称）的法定代表人，现委托</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（姓名）为我方代理人。代理人根据授权，以我方名义签署、澄清确认、递交、撤回、修改</w:t>
      </w:r>
      <w:r>
        <w:rPr>
          <w:rFonts w:hint="eastAsia"/>
          <w:color w:val="auto"/>
          <w:highlight w:val="none"/>
          <w:lang w:eastAsia="zh-CN"/>
        </w:rPr>
        <w:t>响应</w:t>
      </w:r>
      <w:r>
        <w:rPr>
          <w:rFonts w:hint="eastAsia"/>
          <w:color w:val="auto"/>
          <w:highlight w:val="none"/>
        </w:rPr>
        <w:t>文件、签订合同和处理有关事宜，其法律后果由我方承担。委托期限：</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ab/>
      </w:r>
      <w:r>
        <w:rPr>
          <w:rFonts w:hint="eastAsia"/>
          <w:color w:val="auto"/>
          <w:highlight w:val="none"/>
        </w:rPr>
        <w:t>。</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代理人无转委托权。</w:t>
      </w:r>
      <w:r>
        <w:rPr>
          <w:rFonts w:hint="eastAsia"/>
          <w:color w:val="auto"/>
          <w:highlight w:val="none"/>
        </w:rPr>
        <w:tab/>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附：</w:t>
      </w:r>
      <w:r>
        <w:rPr>
          <w:rFonts w:hint="eastAsia" w:cs="宋体"/>
          <w:color w:val="auto"/>
          <w:highlight w:val="none"/>
        </w:rPr>
        <w:t>法定代表人身份证扫描件及委托代理人身份证扫描件</w:t>
      </w:r>
      <w:r>
        <w:rPr>
          <w:rFonts w:hint="eastAsia" w:cs="宋体"/>
          <w:color w:val="auto"/>
          <w:highlight w:val="none"/>
          <w:lang w:eastAsia="zh-CN"/>
        </w:rPr>
        <w:t>（</w:t>
      </w:r>
      <w:r>
        <w:rPr>
          <w:rFonts w:hint="eastAsia" w:cs="宋体"/>
          <w:color w:val="auto"/>
          <w:highlight w:val="none"/>
          <w:lang w:val="en-US" w:eastAsia="zh-CN"/>
        </w:rPr>
        <w:t>正反面）</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注：本授权委托书需由</w:t>
      </w:r>
      <w:r>
        <w:rPr>
          <w:rFonts w:hint="eastAsia" w:ascii="宋体" w:hAnsi="宋体" w:cs="宋体"/>
          <w:color w:val="auto"/>
          <w:kern w:val="0"/>
          <w:szCs w:val="21"/>
          <w:highlight w:val="none"/>
        </w:rPr>
        <w:t>询比采购响应人</w:t>
      </w:r>
      <w:r>
        <w:rPr>
          <w:rFonts w:hint="eastAsia"/>
          <w:color w:val="auto"/>
          <w:highlight w:val="none"/>
        </w:rPr>
        <w:t>加盖单位公章并由其法定代表人和委托代理人签字。</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2520" w:firstLineChars="1200"/>
        <w:textAlignment w:val="auto"/>
        <w:rPr>
          <w:color w:val="auto"/>
          <w:highlight w:val="none"/>
        </w:rPr>
      </w:pPr>
      <w:r>
        <w:rPr>
          <w:rFonts w:hint="eastAsia" w:ascii="宋体" w:hAnsi="宋体" w:cs="宋体"/>
          <w:color w:val="auto"/>
          <w:kern w:val="0"/>
          <w:szCs w:val="21"/>
          <w:highlight w:val="none"/>
        </w:rPr>
        <w:t>询比采购响应人</w:t>
      </w:r>
      <w:r>
        <w:rPr>
          <w:rFonts w:hint="eastAsia"/>
          <w:color w:val="auto"/>
          <w:highlight w:val="none"/>
        </w:rPr>
        <w:t>：</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（盖单位章）</w:t>
      </w:r>
    </w:p>
    <w:p>
      <w:pPr>
        <w:pageBreakBefore w:val="0"/>
        <w:kinsoku/>
        <w:topLinePunct w:val="0"/>
        <w:bidi w:val="0"/>
        <w:spacing w:line="360" w:lineRule="auto"/>
        <w:ind w:firstLine="2520" w:firstLineChars="1200"/>
        <w:textAlignment w:val="auto"/>
        <w:rPr>
          <w:color w:val="auto"/>
          <w:highlight w:val="none"/>
        </w:rPr>
      </w:pPr>
      <w:r>
        <w:rPr>
          <w:rFonts w:hint="eastAsia"/>
          <w:color w:val="auto"/>
          <w:highlight w:val="none"/>
        </w:rPr>
        <w:t>法定代表人：</w:t>
      </w:r>
      <w:r>
        <w:rPr>
          <w:rFonts w:hint="eastAsia"/>
          <w:color w:val="auto"/>
          <w:highlight w:val="none"/>
          <w:u w:val="single"/>
        </w:rPr>
        <w:tab/>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ageBreakBefore w:val="0"/>
        <w:kinsoku/>
        <w:topLinePunct w:val="0"/>
        <w:bidi w:val="0"/>
        <w:spacing w:line="360" w:lineRule="auto"/>
        <w:ind w:firstLine="2520" w:firstLineChars="1200"/>
        <w:textAlignment w:val="auto"/>
        <w:rPr>
          <w:color w:val="auto"/>
          <w:highlight w:val="none"/>
        </w:rPr>
      </w:pPr>
      <w:r>
        <w:rPr>
          <w:rFonts w:hint="eastAsia"/>
          <w:color w:val="auto"/>
          <w:highlight w:val="none"/>
        </w:rPr>
        <w:t>身份证号码：</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pageBreakBefore w:val="0"/>
        <w:kinsoku/>
        <w:topLinePunct w:val="0"/>
        <w:bidi w:val="0"/>
        <w:spacing w:line="360" w:lineRule="auto"/>
        <w:ind w:firstLine="2520" w:firstLineChars="1200"/>
        <w:textAlignment w:val="auto"/>
        <w:rPr>
          <w:color w:val="auto"/>
          <w:highlight w:val="none"/>
        </w:rPr>
      </w:pPr>
      <w:r>
        <w:rPr>
          <w:rFonts w:hint="eastAsia"/>
          <w:color w:val="auto"/>
          <w:highlight w:val="none"/>
        </w:rPr>
        <w:t>委托代理人：</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（签字）</w:t>
      </w:r>
    </w:p>
    <w:p>
      <w:pPr>
        <w:pageBreakBefore w:val="0"/>
        <w:kinsoku/>
        <w:topLinePunct w:val="0"/>
        <w:bidi w:val="0"/>
        <w:spacing w:line="360" w:lineRule="auto"/>
        <w:ind w:firstLine="2520" w:firstLineChars="1200"/>
        <w:textAlignment w:val="auto"/>
        <w:rPr>
          <w:color w:val="auto"/>
          <w:highlight w:val="none"/>
          <w:u w:val="single"/>
        </w:rPr>
      </w:pPr>
      <w:r>
        <w:rPr>
          <w:rFonts w:hint="eastAsia"/>
          <w:color w:val="auto"/>
          <w:highlight w:val="none"/>
        </w:rPr>
        <w:t>身份证号码：</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pageBreakBefore w:val="0"/>
        <w:kinsoku/>
        <w:topLinePunct w:val="0"/>
        <w:bidi w:val="0"/>
        <w:spacing w:line="360" w:lineRule="auto"/>
        <w:ind w:firstLine="5250" w:firstLineChars="2500"/>
        <w:textAlignment w:val="auto"/>
        <w:rPr>
          <w:color w:val="auto"/>
          <w:highlight w:val="none"/>
        </w:rPr>
      </w:pPr>
      <w:r>
        <w:rPr>
          <w:rFonts w:hint="eastAsia"/>
          <w:color w:val="auto"/>
          <w:highlight w:val="none"/>
          <w:u w:val="single"/>
        </w:rPr>
        <w:tab/>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日</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br w:type="page"/>
      </w:r>
      <w:bookmarkStart w:id="171" w:name="_Toc493934765"/>
      <w:bookmarkEnd w:id="171"/>
      <w:bookmarkStart w:id="172" w:name="_Toc5890"/>
      <w:bookmarkEnd w:id="172"/>
    </w:p>
    <w:p>
      <w:pPr>
        <w:pStyle w:val="5"/>
        <w:pageBreakBefore w:val="0"/>
        <w:numPr>
          <w:ilvl w:val="0"/>
          <w:numId w:val="4"/>
        </w:numPr>
        <w:kinsoku/>
        <w:topLinePunct w:val="0"/>
        <w:bidi w:val="0"/>
        <w:spacing w:line="360" w:lineRule="auto"/>
        <w:ind w:left="0" w:leftChars="0" w:firstLine="480" w:firstLineChars="0"/>
        <w:jc w:val="center"/>
        <w:textAlignment w:val="auto"/>
        <w:rPr>
          <w:rFonts w:hint="eastAsia" w:ascii="宋体" w:hAnsi="宋体" w:eastAsia="宋体" w:cs="宋体"/>
          <w:color w:val="auto"/>
          <w:highlight w:val="none"/>
        </w:rPr>
      </w:pPr>
      <w:bookmarkStart w:id="173" w:name="_Toc27492"/>
      <w:bookmarkEnd w:id="173"/>
      <w:bookmarkStart w:id="174" w:name="_Toc30917"/>
      <w:bookmarkEnd w:id="174"/>
      <w:bookmarkStart w:id="175" w:name="_Toc28214"/>
      <w:bookmarkStart w:id="176" w:name="_Toc22330"/>
      <w:bookmarkStart w:id="177" w:name="_Toc4089"/>
      <w:bookmarkStart w:id="178" w:name="_Toc493934767"/>
      <w:bookmarkStart w:id="179" w:name="_Toc505160210"/>
      <w:r>
        <w:rPr>
          <w:rFonts w:hint="eastAsia" w:ascii="宋体" w:hAnsi="宋体" w:cs="宋体"/>
          <w:color w:val="auto"/>
          <w:highlight w:val="none"/>
          <w:lang w:val="en-US" w:eastAsia="zh-CN"/>
        </w:rPr>
        <w:t>规划核实</w:t>
      </w:r>
      <w:r>
        <w:rPr>
          <w:rFonts w:hint="eastAsia" w:ascii="宋体" w:hAnsi="宋体" w:eastAsia="宋体" w:cs="宋体"/>
          <w:color w:val="auto"/>
          <w:highlight w:val="none"/>
        </w:rPr>
        <w:t>费用清单</w:t>
      </w:r>
      <w:bookmarkEnd w:id="175"/>
      <w:r>
        <w:rPr>
          <w:rFonts w:hint="eastAsia" w:ascii="宋体" w:hAnsi="宋体" w:eastAsia="宋体" w:cs="宋体"/>
          <w:color w:val="auto"/>
          <w:highlight w:val="none"/>
          <w:lang w:eastAsia="zh-CN"/>
        </w:rPr>
        <w:t>说明</w:t>
      </w:r>
    </w:p>
    <w:p>
      <w:pPr>
        <w:pageBreakBefore w:val="0"/>
        <w:numPr>
          <w:ilvl w:val="0"/>
          <w:numId w:val="5"/>
        </w:numPr>
        <w:kinsoku/>
        <w:topLinePunct w:val="0"/>
        <w:bidi w:val="0"/>
        <w:spacing w:line="360" w:lineRule="auto"/>
        <w:textAlignment w:val="auto"/>
        <w:rPr>
          <w:rFonts w:ascii="宋体" w:hAnsi="宋体"/>
          <w:color w:val="auto"/>
          <w:highlight w:val="none"/>
        </w:rPr>
      </w:pPr>
      <w:r>
        <w:rPr>
          <w:rFonts w:hint="eastAsia" w:ascii="宋体" w:hAnsi="宋体"/>
          <w:color w:val="auto"/>
          <w:highlight w:val="none"/>
          <w:lang w:val="en-US" w:eastAsia="zh-CN"/>
        </w:rPr>
        <w:t>竣工规划核实、土地核验测绘</w:t>
      </w:r>
      <w:r>
        <w:rPr>
          <w:rFonts w:hint="eastAsia" w:ascii="宋体" w:hAnsi="宋体"/>
          <w:color w:val="auto"/>
          <w:highlight w:val="none"/>
        </w:rPr>
        <w:t>费用清单说</w:t>
      </w:r>
      <w:r>
        <w:rPr>
          <w:rFonts w:ascii="宋体" w:hAnsi="宋体"/>
          <w:color w:val="auto"/>
          <w:highlight w:val="none"/>
        </w:rPr>
        <w:t>明</w:t>
      </w:r>
    </w:p>
    <w:p>
      <w:pPr>
        <w:pStyle w:val="2"/>
        <w:rPr>
          <w:rFonts w:hint="default" w:eastAsia="宋体"/>
          <w:color w:val="auto"/>
          <w:highlight w:val="none"/>
          <w:lang w:val="en-US" w:eastAsia="zh-CN"/>
        </w:rPr>
      </w:pPr>
      <w:r>
        <w:rPr>
          <w:rFonts w:hint="eastAsia" w:ascii="宋体" w:hAnsi="宋体"/>
          <w:color w:val="auto"/>
          <w:highlight w:val="none"/>
          <w:lang w:val="en-US" w:eastAsia="zh-CN"/>
        </w:rPr>
        <w:t>2.各分项报价明细</w:t>
      </w:r>
    </w:p>
    <w:tbl>
      <w:tblPr>
        <w:tblStyle w:val="3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5"/>
        <w:gridCol w:w="1395"/>
        <w:gridCol w:w="945"/>
        <w:gridCol w:w="1380"/>
        <w:gridCol w:w="133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1：500竣工图测量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建筑规划面积测量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13232.58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验测高程、高度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验测平面位置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bl>
    <w:p>
      <w:pPr>
        <w:pStyle w:val="2"/>
        <w:rPr>
          <w:rFonts w:hint="eastAsia" w:eastAsia="宋体"/>
          <w:color w:val="auto"/>
          <w:highlight w:val="none"/>
          <w:lang w:val="en-US" w:eastAsia="zh-CN"/>
        </w:rPr>
      </w:pPr>
    </w:p>
    <w:p>
      <w:pPr>
        <w:pageBreakBefore w:val="0"/>
        <w:kinsoku/>
        <w:topLinePunct w:val="0"/>
        <w:bidi w:val="0"/>
        <w:spacing w:line="360" w:lineRule="auto"/>
        <w:textAlignment w:val="auto"/>
        <w:rPr>
          <w:rFonts w:hint="eastAsia" w:ascii="宋体" w:hAnsi="宋体"/>
          <w:color w:val="auto"/>
          <w:highlight w:val="none"/>
          <w:lang w:val="en-US" w:eastAsia="zh-CN"/>
        </w:rPr>
      </w:pPr>
    </w:p>
    <w:p>
      <w:pPr>
        <w:pageBreakBefore w:val="0"/>
        <w:kinsoku/>
        <w:topLinePunct w:val="0"/>
        <w:bidi w:val="0"/>
        <w:spacing w:line="360" w:lineRule="auto"/>
        <w:textAlignment w:val="auto"/>
        <w:rPr>
          <w:rFonts w:hint="eastAsia" w:ascii="宋体" w:hAnsi="宋体"/>
          <w:color w:val="auto"/>
          <w:highlight w:val="none"/>
          <w:lang w:val="en-US" w:eastAsia="zh-CN"/>
        </w:rPr>
      </w:pPr>
    </w:p>
    <w:p>
      <w:pPr>
        <w:pageBreakBefore w:val="0"/>
        <w:kinsoku/>
        <w:topLinePunct w:val="0"/>
        <w:bidi w:val="0"/>
        <w:spacing w:line="360" w:lineRule="auto"/>
        <w:textAlignment w:val="auto"/>
        <w:rPr>
          <w:rFonts w:hint="eastAsia" w:ascii="宋体" w:hAnsi="宋体"/>
          <w:color w:val="auto"/>
          <w:highlight w:val="none"/>
          <w:lang w:val="en-US" w:eastAsia="zh-CN"/>
        </w:rPr>
      </w:pPr>
    </w:p>
    <w:p>
      <w:pPr>
        <w:pageBreakBefore w:val="0"/>
        <w:kinsoku/>
        <w:topLinePunct w:val="0"/>
        <w:bidi w:val="0"/>
        <w:spacing w:line="360" w:lineRule="auto"/>
        <w:textAlignment w:val="auto"/>
        <w:rPr>
          <w:rFonts w:hint="eastAsia" w:ascii="宋体" w:hAnsi="宋体"/>
          <w:color w:val="auto"/>
          <w:highlight w:val="none"/>
          <w:lang w:val="en-US" w:eastAsia="zh-CN"/>
        </w:rPr>
      </w:pPr>
    </w:p>
    <w:p>
      <w:pPr>
        <w:pageBreakBefore w:val="0"/>
        <w:kinsoku/>
        <w:topLinePunct w:val="0"/>
        <w:bidi w:val="0"/>
        <w:spacing w:line="360" w:lineRule="auto"/>
        <w:textAlignment w:val="auto"/>
        <w:rPr>
          <w:rFonts w:hint="eastAsia" w:ascii="宋体" w:hAnsi="宋体"/>
          <w:color w:val="auto"/>
          <w:highlight w:val="none"/>
          <w:lang w:val="en-US" w:eastAsia="zh-CN"/>
        </w:rPr>
      </w:pPr>
    </w:p>
    <w:p>
      <w:pPr>
        <w:pageBreakBefore w:val="0"/>
        <w:kinsoku/>
        <w:topLinePunct w:val="0"/>
        <w:bidi w:val="0"/>
        <w:spacing w:line="360" w:lineRule="auto"/>
        <w:ind w:firstLine="480"/>
        <w:textAlignment w:val="auto"/>
        <w:rPr>
          <w:color w:val="auto"/>
          <w:highlight w:val="none"/>
        </w:rPr>
      </w:pPr>
    </w:p>
    <w:p>
      <w:pPr>
        <w:pageBreakBefore w:val="0"/>
        <w:kinsoku/>
        <w:topLinePunct w:val="0"/>
        <w:bidi w:val="0"/>
        <w:spacing w:line="360" w:lineRule="auto"/>
        <w:ind w:firstLine="480"/>
        <w:textAlignment w:val="auto"/>
        <w:rPr>
          <w:color w:val="auto"/>
          <w:highlight w:val="none"/>
        </w:rPr>
      </w:pPr>
    </w:p>
    <w:p>
      <w:pPr>
        <w:pageBreakBefore w:val="0"/>
        <w:kinsoku/>
        <w:topLinePunct w:val="0"/>
        <w:bidi w:val="0"/>
        <w:spacing w:line="360" w:lineRule="auto"/>
        <w:ind w:firstLine="480"/>
        <w:textAlignment w:val="auto"/>
        <w:rPr>
          <w:color w:val="auto"/>
          <w:highlight w:val="none"/>
        </w:rPr>
      </w:pPr>
      <w:r>
        <w:rPr>
          <w:rFonts w:hint="eastAsia"/>
          <w:color w:val="auto"/>
          <w:highlight w:val="none"/>
        </w:rPr>
        <w:br w:type="page"/>
      </w:r>
    </w:p>
    <w:p>
      <w:pPr>
        <w:pStyle w:val="5"/>
        <w:pageBreakBefore w:val="0"/>
        <w:kinsoku/>
        <w:topLinePunct w:val="0"/>
        <w:bidi w:val="0"/>
        <w:spacing w:line="360" w:lineRule="auto"/>
        <w:jc w:val="center"/>
        <w:textAlignment w:val="auto"/>
        <w:rPr>
          <w:rFonts w:hint="eastAsia" w:ascii="宋体" w:hAnsi="宋体" w:eastAsia="宋体" w:cs="宋体"/>
          <w:color w:val="auto"/>
          <w:highlight w:val="none"/>
        </w:rPr>
      </w:pPr>
      <w:bookmarkStart w:id="180" w:name="_Toc24099"/>
      <w:r>
        <w:rPr>
          <w:rFonts w:hint="eastAsia" w:ascii="宋体" w:hAnsi="宋体" w:cs="宋体"/>
          <w:color w:val="auto"/>
          <w:highlight w:val="none"/>
          <w:lang w:val="en-US" w:eastAsia="zh-CN"/>
        </w:rPr>
        <w:t>五</w:t>
      </w:r>
      <w:r>
        <w:rPr>
          <w:rFonts w:hint="eastAsia" w:ascii="宋体" w:hAnsi="宋体" w:eastAsia="宋体" w:cs="宋体"/>
          <w:color w:val="auto"/>
          <w:highlight w:val="none"/>
        </w:rPr>
        <w:t>、资格审查资料</w:t>
      </w:r>
      <w:bookmarkEnd w:id="176"/>
      <w:bookmarkEnd w:id="177"/>
      <w:bookmarkEnd w:id="178"/>
      <w:bookmarkEnd w:id="179"/>
      <w:bookmarkEnd w:id="180"/>
    </w:p>
    <w:p>
      <w:pPr>
        <w:pStyle w:val="6"/>
        <w:pageBreakBefore w:val="0"/>
        <w:kinsoku/>
        <w:topLinePunct w:val="0"/>
        <w:bidi w:val="0"/>
        <w:spacing w:line="360" w:lineRule="auto"/>
        <w:ind w:firstLine="482"/>
        <w:textAlignment w:val="auto"/>
        <w:rPr>
          <w:color w:val="auto"/>
          <w:highlight w:val="none"/>
        </w:rPr>
      </w:pPr>
      <w:bookmarkStart w:id="181" w:name="_Toc571"/>
      <w:bookmarkEnd w:id="181"/>
      <w:bookmarkStart w:id="182" w:name="_Toc505160211"/>
      <w:bookmarkStart w:id="183" w:name="_Toc493934768"/>
      <w:bookmarkStart w:id="184" w:name="_Toc19074"/>
      <w:r>
        <w:rPr>
          <w:rFonts w:hint="eastAsia"/>
          <w:color w:val="auto"/>
          <w:highlight w:val="none"/>
        </w:rPr>
        <w:t>（一）基本情况表</w:t>
      </w:r>
      <w:bookmarkEnd w:id="182"/>
      <w:bookmarkEnd w:id="183"/>
      <w:bookmarkEnd w:id="184"/>
      <w:r>
        <w:rPr>
          <w:rFonts w:hint="eastAsia"/>
          <w:color w:val="auto"/>
          <w:highlight w:val="none"/>
        </w:rPr>
        <w:tab/>
      </w:r>
    </w:p>
    <w:tbl>
      <w:tblPr>
        <w:tblStyle w:val="37"/>
        <w:tblW w:w="0" w:type="auto"/>
        <w:jc w:val="center"/>
        <w:tblLayout w:type="fixed"/>
        <w:tblCellMar>
          <w:top w:w="0" w:type="dxa"/>
          <w:left w:w="108" w:type="dxa"/>
          <w:bottom w:w="0" w:type="dxa"/>
          <w:right w:w="108" w:type="dxa"/>
        </w:tblCellMar>
      </w:tblPr>
      <w:tblGrid>
        <w:gridCol w:w="2305"/>
        <w:gridCol w:w="1344"/>
        <w:gridCol w:w="526"/>
        <w:gridCol w:w="1295"/>
        <w:gridCol w:w="15"/>
        <w:gridCol w:w="447"/>
        <w:gridCol w:w="868"/>
        <w:gridCol w:w="980"/>
        <w:gridCol w:w="291"/>
        <w:gridCol w:w="1057"/>
      </w:tblGrid>
      <w:tr>
        <w:tblPrEx>
          <w:tblCellMar>
            <w:top w:w="0" w:type="dxa"/>
            <w:left w:w="108" w:type="dxa"/>
            <w:bottom w:w="0" w:type="dxa"/>
            <w:right w:w="108" w:type="dxa"/>
          </w:tblCellMar>
        </w:tblPrEx>
        <w:trPr>
          <w:trHeight w:val="398"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lang w:eastAsia="zh-CN"/>
              </w:rPr>
              <w:t>供应商</w:t>
            </w:r>
            <w:r>
              <w:rPr>
                <w:rFonts w:hint="eastAsia"/>
                <w:color w:val="auto"/>
                <w:highlight w:val="none"/>
              </w:rPr>
              <w:t>名称</w:t>
            </w:r>
          </w:p>
        </w:tc>
        <w:tc>
          <w:tcPr>
            <w:tcW w:w="6823" w:type="dxa"/>
            <w:gridSpan w:val="9"/>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385"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注册地址</w:t>
            </w:r>
          </w:p>
        </w:tc>
        <w:tc>
          <w:tcPr>
            <w:tcW w:w="3180" w:type="dxa"/>
            <w:gridSpan w:val="4"/>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315"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邮政编码</w:t>
            </w:r>
          </w:p>
        </w:tc>
        <w:tc>
          <w:tcPr>
            <w:tcW w:w="2328"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cantSplit/>
          <w:trHeight w:val="441" w:hRule="atLeast"/>
          <w:jc w:val="center"/>
        </w:trPr>
        <w:tc>
          <w:tcPr>
            <w:tcW w:w="2305" w:type="dxa"/>
            <w:vMerge w:val="restart"/>
            <w:tcBorders>
              <w:top w:val="nil"/>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联系方式</w:t>
            </w:r>
          </w:p>
        </w:tc>
        <w:tc>
          <w:tcPr>
            <w:tcW w:w="1344"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联系人</w:t>
            </w:r>
          </w:p>
        </w:tc>
        <w:tc>
          <w:tcPr>
            <w:tcW w:w="1836"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315"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电 话</w:t>
            </w:r>
          </w:p>
        </w:tc>
        <w:tc>
          <w:tcPr>
            <w:tcW w:w="2328"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cantSplit/>
          <w:trHeight w:val="404" w:hRule="atLeast"/>
          <w:jc w:val="center"/>
        </w:trPr>
        <w:tc>
          <w:tcPr>
            <w:tcW w:w="2305" w:type="dxa"/>
            <w:vMerge w:val="continue"/>
            <w:tcBorders>
              <w:top w:val="nil"/>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344"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传  真</w:t>
            </w:r>
          </w:p>
        </w:tc>
        <w:tc>
          <w:tcPr>
            <w:tcW w:w="1836"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315"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网址</w:t>
            </w:r>
          </w:p>
        </w:tc>
        <w:tc>
          <w:tcPr>
            <w:tcW w:w="2328"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384"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法定代表人</w:t>
            </w:r>
          </w:p>
        </w:tc>
        <w:tc>
          <w:tcPr>
            <w:tcW w:w="1344"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姓名</w:t>
            </w:r>
          </w:p>
        </w:tc>
        <w:tc>
          <w:tcPr>
            <w:tcW w:w="52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310"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技术职称</w:t>
            </w:r>
          </w:p>
        </w:tc>
        <w:tc>
          <w:tcPr>
            <w:tcW w:w="1315"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271"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电话</w:t>
            </w:r>
          </w:p>
        </w:tc>
        <w:tc>
          <w:tcPr>
            <w:tcW w:w="1057"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508"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技术负责人</w:t>
            </w:r>
          </w:p>
        </w:tc>
        <w:tc>
          <w:tcPr>
            <w:tcW w:w="1344"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姓名</w:t>
            </w:r>
          </w:p>
        </w:tc>
        <w:tc>
          <w:tcPr>
            <w:tcW w:w="526"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310"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技术职称</w:t>
            </w:r>
          </w:p>
        </w:tc>
        <w:tc>
          <w:tcPr>
            <w:tcW w:w="1315"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271"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电话</w:t>
            </w:r>
          </w:p>
        </w:tc>
        <w:tc>
          <w:tcPr>
            <w:tcW w:w="1057" w:type="dxa"/>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385"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企业设计资质证书</w:t>
            </w:r>
          </w:p>
        </w:tc>
        <w:tc>
          <w:tcPr>
            <w:tcW w:w="6823" w:type="dxa"/>
            <w:gridSpan w:val="9"/>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类型：          等级：               证书号：</w:t>
            </w:r>
          </w:p>
        </w:tc>
      </w:tr>
      <w:tr>
        <w:tblPrEx>
          <w:tblCellMar>
            <w:top w:w="0" w:type="dxa"/>
            <w:left w:w="108" w:type="dxa"/>
            <w:bottom w:w="0" w:type="dxa"/>
            <w:right w:w="108" w:type="dxa"/>
          </w:tblCellMar>
        </w:tblPrEx>
        <w:trPr>
          <w:trHeight w:val="765"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质量管理体系证书</w:t>
            </w:r>
          </w:p>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（如有）</w:t>
            </w:r>
          </w:p>
        </w:tc>
        <w:tc>
          <w:tcPr>
            <w:tcW w:w="6823" w:type="dxa"/>
            <w:gridSpan w:val="9"/>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类型：          等级：               证书号：</w:t>
            </w:r>
          </w:p>
        </w:tc>
      </w:tr>
      <w:tr>
        <w:tblPrEx>
          <w:tblCellMar>
            <w:top w:w="0" w:type="dxa"/>
            <w:left w:w="108" w:type="dxa"/>
            <w:bottom w:w="0" w:type="dxa"/>
            <w:right w:w="108" w:type="dxa"/>
          </w:tblCellMar>
        </w:tblPrEx>
        <w:trPr>
          <w:trHeight w:val="385"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营业执照号</w:t>
            </w:r>
          </w:p>
        </w:tc>
        <w:tc>
          <w:tcPr>
            <w:tcW w:w="3165"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3658" w:type="dxa"/>
            <w:gridSpan w:val="6"/>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员工总人数：</w:t>
            </w:r>
          </w:p>
        </w:tc>
      </w:tr>
      <w:tr>
        <w:tblPrEx>
          <w:tblCellMar>
            <w:top w:w="0" w:type="dxa"/>
            <w:left w:w="108" w:type="dxa"/>
            <w:bottom w:w="0" w:type="dxa"/>
            <w:right w:w="108" w:type="dxa"/>
          </w:tblCellMar>
        </w:tblPrEx>
        <w:trPr>
          <w:cantSplit/>
          <w:trHeight w:val="449"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注册资本</w:t>
            </w:r>
          </w:p>
        </w:tc>
        <w:tc>
          <w:tcPr>
            <w:tcW w:w="3165"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462" w:type="dxa"/>
            <w:gridSpan w:val="2"/>
            <w:vMerge w:val="restart"/>
            <w:tcBorders>
              <w:top w:val="nil"/>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其中</w:t>
            </w:r>
          </w:p>
        </w:tc>
        <w:tc>
          <w:tcPr>
            <w:tcW w:w="18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高级职称人员</w:t>
            </w:r>
          </w:p>
        </w:tc>
        <w:tc>
          <w:tcPr>
            <w:tcW w:w="13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cantSplit/>
          <w:trHeight w:val="416"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成立日期</w:t>
            </w:r>
          </w:p>
        </w:tc>
        <w:tc>
          <w:tcPr>
            <w:tcW w:w="3165"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462" w:type="dxa"/>
            <w:gridSpan w:val="2"/>
            <w:vMerge w:val="continue"/>
            <w:tcBorders>
              <w:top w:val="nil"/>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8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中级职称人员</w:t>
            </w:r>
          </w:p>
        </w:tc>
        <w:tc>
          <w:tcPr>
            <w:tcW w:w="13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cantSplit/>
          <w:trHeight w:val="420"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基本账户开户银行</w:t>
            </w:r>
          </w:p>
        </w:tc>
        <w:tc>
          <w:tcPr>
            <w:tcW w:w="3165"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462" w:type="dxa"/>
            <w:gridSpan w:val="2"/>
            <w:vMerge w:val="continue"/>
            <w:tcBorders>
              <w:top w:val="nil"/>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8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技术人员力量</w:t>
            </w:r>
          </w:p>
        </w:tc>
        <w:tc>
          <w:tcPr>
            <w:tcW w:w="13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cantSplit/>
          <w:trHeight w:val="402"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基本账户银行账号</w:t>
            </w:r>
          </w:p>
        </w:tc>
        <w:tc>
          <w:tcPr>
            <w:tcW w:w="3165" w:type="dxa"/>
            <w:gridSpan w:val="3"/>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462" w:type="dxa"/>
            <w:gridSpan w:val="2"/>
            <w:vMerge w:val="continue"/>
            <w:tcBorders>
              <w:top w:val="nil"/>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c>
          <w:tcPr>
            <w:tcW w:w="18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各类注册人员</w:t>
            </w:r>
          </w:p>
        </w:tc>
        <w:tc>
          <w:tcPr>
            <w:tcW w:w="1348" w:type="dxa"/>
            <w:gridSpan w:val="2"/>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403" w:hRule="atLeast"/>
          <w:jc w:val="center"/>
        </w:trPr>
        <w:tc>
          <w:tcPr>
            <w:tcW w:w="2305" w:type="dxa"/>
            <w:tcBorders>
              <w:top w:val="single" w:color="auto" w:sz="4" w:space="0"/>
              <w:left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经营范围</w:t>
            </w:r>
          </w:p>
        </w:tc>
        <w:tc>
          <w:tcPr>
            <w:tcW w:w="6823" w:type="dxa"/>
            <w:gridSpan w:val="9"/>
            <w:tcBorders>
              <w:top w:val="single" w:color="auto" w:sz="4" w:space="0"/>
              <w:left w:val="nil"/>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718" w:hRule="atLeast"/>
          <w:jc w:val="center"/>
        </w:trPr>
        <w:tc>
          <w:tcPr>
            <w:tcW w:w="2305" w:type="dxa"/>
            <w:tcBorders>
              <w:top w:val="single" w:color="auto" w:sz="4" w:space="0"/>
              <w:left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lang w:eastAsia="zh-CN"/>
              </w:rPr>
              <w:t>供应商</w:t>
            </w:r>
            <w:r>
              <w:rPr>
                <w:rFonts w:hint="eastAsia"/>
                <w:color w:val="auto"/>
                <w:highlight w:val="none"/>
              </w:rPr>
              <w:t>关联企业情况（包括但不限于与</w:t>
            </w:r>
            <w:r>
              <w:rPr>
                <w:rFonts w:hint="eastAsia"/>
                <w:color w:val="auto"/>
                <w:highlight w:val="none"/>
                <w:lang w:eastAsia="zh-CN"/>
              </w:rPr>
              <w:t>供应商</w:t>
            </w:r>
            <w:r>
              <w:rPr>
                <w:rFonts w:hint="eastAsia"/>
                <w:color w:val="auto"/>
                <w:highlight w:val="none"/>
              </w:rPr>
              <w:t>法定代表人为同一人或者存在控股、管理关系的不同单位）</w:t>
            </w:r>
          </w:p>
        </w:tc>
        <w:tc>
          <w:tcPr>
            <w:tcW w:w="6823" w:type="dxa"/>
            <w:gridSpan w:val="9"/>
            <w:tcBorders>
              <w:top w:val="single" w:color="auto" w:sz="4" w:space="0"/>
              <w:left w:val="nil"/>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r>
        <w:tblPrEx>
          <w:tblCellMar>
            <w:top w:w="0" w:type="dxa"/>
            <w:left w:w="108" w:type="dxa"/>
            <w:bottom w:w="0" w:type="dxa"/>
            <w:right w:w="108" w:type="dxa"/>
          </w:tblCellMar>
        </w:tblPrEx>
        <w:trPr>
          <w:trHeight w:val="364"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备注</w:t>
            </w:r>
          </w:p>
        </w:tc>
        <w:tc>
          <w:tcPr>
            <w:tcW w:w="6823" w:type="dxa"/>
            <w:gridSpan w:val="9"/>
            <w:tcBorders>
              <w:top w:val="single" w:color="auto" w:sz="4" w:space="0"/>
              <w:left w:val="nil"/>
              <w:bottom w:val="single" w:color="auto" w:sz="4" w:space="0"/>
              <w:right w:val="single" w:color="auto" w:sz="4" w:space="0"/>
            </w:tcBorders>
            <w:vAlign w:val="center"/>
          </w:tcPr>
          <w:p>
            <w:pPr>
              <w:pStyle w:val="84"/>
              <w:pageBreakBefore w:val="0"/>
              <w:kinsoku/>
              <w:topLinePunct w:val="0"/>
              <w:bidi w:val="0"/>
              <w:spacing w:line="360" w:lineRule="auto"/>
              <w:jc w:val="center"/>
              <w:textAlignment w:val="auto"/>
              <w:rPr>
                <w:color w:val="auto"/>
                <w:highlight w:val="none"/>
              </w:rPr>
            </w:pPr>
          </w:p>
        </w:tc>
      </w:tr>
    </w:tbl>
    <w:p>
      <w:pPr>
        <w:pageBreakBefore w:val="0"/>
        <w:kinsoku/>
        <w:topLinePunct w:val="0"/>
        <w:bidi w:val="0"/>
        <w:spacing w:line="360" w:lineRule="auto"/>
        <w:ind w:firstLine="480"/>
        <w:textAlignment w:val="auto"/>
        <w:rPr>
          <w:rFonts w:cs="宋体"/>
          <w:color w:val="auto"/>
          <w:szCs w:val="21"/>
          <w:highlight w:val="none"/>
        </w:rPr>
      </w:pPr>
      <w:r>
        <w:rPr>
          <w:rFonts w:hint="eastAsia" w:cs="宋体"/>
          <w:color w:val="auto"/>
          <w:szCs w:val="21"/>
          <w:highlight w:val="none"/>
        </w:rPr>
        <w:t>注：</w:t>
      </w:r>
      <w:r>
        <w:rPr>
          <w:rFonts w:hint="eastAsia" w:ascii="宋体" w:hAnsi="宋体" w:cs="宋体"/>
          <w:color w:val="auto"/>
          <w:kern w:val="0"/>
          <w:szCs w:val="21"/>
          <w:highlight w:val="none"/>
        </w:rPr>
        <w:t>询比采购响应人</w:t>
      </w:r>
      <w:r>
        <w:rPr>
          <w:rFonts w:hint="eastAsia" w:cs="宋体"/>
          <w:color w:val="auto"/>
          <w:szCs w:val="21"/>
          <w:highlight w:val="none"/>
        </w:rPr>
        <w:t>需随此表附上营业执照、资质等级证书等文件的复印件（加盖单位公章）。</w:t>
      </w:r>
    </w:p>
    <w:p>
      <w:pPr>
        <w:pageBreakBefore w:val="0"/>
        <w:kinsoku/>
        <w:topLinePunct w:val="0"/>
        <w:bidi w:val="0"/>
        <w:spacing w:line="360" w:lineRule="auto"/>
        <w:ind w:firstLine="3045" w:firstLineChars="1450"/>
        <w:textAlignment w:val="auto"/>
        <w:rPr>
          <w:color w:val="auto"/>
          <w:highlight w:val="none"/>
        </w:rPr>
      </w:pPr>
      <w:r>
        <w:rPr>
          <w:rFonts w:hint="eastAsia" w:ascii="宋体" w:hAnsi="宋体" w:cs="宋体"/>
          <w:color w:val="auto"/>
          <w:kern w:val="0"/>
          <w:szCs w:val="21"/>
          <w:highlight w:val="none"/>
        </w:rPr>
        <w:t>询比采购响应人</w:t>
      </w:r>
      <w:r>
        <w:rPr>
          <w:rFonts w:hint="eastAsia"/>
          <w:color w:val="auto"/>
          <w:highlight w:val="none"/>
        </w:rPr>
        <w:t>：</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（盖单位章）</w:t>
      </w:r>
      <w:r>
        <w:rPr>
          <w:rFonts w:hint="eastAsia"/>
          <w:color w:val="auto"/>
          <w:highlight w:val="none"/>
        </w:rPr>
        <w:tab/>
      </w:r>
    </w:p>
    <w:p>
      <w:pPr>
        <w:pageBreakBefore w:val="0"/>
        <w:kinsoku/>
        <w:topLinePunct w:val="0"/>
        <w:bidi w:val="0"/>
        <w:spacing w:line="360" w:lineRule="auto"/>
        <w:ind w:firstLine="1890" w:firstLineChars="900"/>
        <w:jc w:val="right"/>
        <w:textAlignment w:val="auto"/>
        <w:rPr>
          <w:color w:val="auto"/>
          <w:highlight w:val="none"/>
        </w:rPr>
      </w:pPr>
      <w:r>
        <w:rPr>
          <w:rFonts w:hint="eastAsia"/>
          <w:color w:val="auto"/>
          <w:highlight w:val="none"/>
        </w:rPr>
        <w:t>法定代表人或其委托代理人：</w:t>
      </w:r>
      <w:r>
        <w:rPr>
          <w:rFonts w:hint="eastAsia"/>
          <w:color w:val="auto"/>
          <w:highlight w:val="none"/>
          <w:u w:val="single"/>
        </w:rPr>
        <w:tab/>
      </w:r>
      <w:r>
        <w:rPr>
          <w:rFonts w:hint="eastAsia"/>
          <w:color w:val="auto"/>
          <w:highlight w:val="none"/>
          <w:u w:val="single"/>
        </w:rPr>
        <w:tab/>
      </w:r>
      <w:r>
        <w:rPr>
          <w:rFonts w:hint="eastAsia"/>
          <w:color w:val="auto"/>
          <w:highlight w:val="none"/>
        </w:rPr>
        <w:t>（签字）</w:t>
      </w:r>
      <w:r>
        <w:rPr>
          <w:rFonts w:hint="eastAsia"/>
          <w:color w:val="auto"/>
          <w:highlight w:val="none"/>
        </w:rPr>
        <w:tab/>
      </w:r>
      <w:r>
        <w:rPr>
          <w:rFonts w:hint="eastAsia"/>
          <w:color w:val="auto"/>
          <w:highlight w:val="none"/>
        </w:rPr>
        <w:tab/>
      </w:r>
      <w:r>
        <w:rPr>
          <w:rFonts w:hint="eastAsia"/>
          <w:color w:val="auto"/>
          <w:highlight w:val="none"/>
        </w:rPr>
        <w:tab/>
      </w:r>
    </w:p>
    <w:p>
      <w:pPr>
        <w:pageBreakBefore w:val="0"/>
        <w:kinsoku/>
        <w:wordWrap w:val="0"/>
        <w:topLinePunct w:val="0"/>
        <w:bidi w:val="0"/>
        <w:spacing w:line="360" w:lineRule="auto"/>
        <w:ind w:firstLine="1890" w:firstLineChars="900"/>
        <w:jc w:val="right"/>
        <w:textAlignment w:val="auto"/>
        <w:rPr>
          <w:color w:val="auto"/>
          <w:highlight w:val="none"/>
        </w:rPr>
      </w:pPr>
      <w:r>
        <w:rPr>
          <w:rFonts w:hint="eastAsia"/>
          <w:color w:val="auto"/>
          <w:highlight w:val="none"/>
          <w:u w:val="single"/>
        </w:rPr>
        <w:tab/>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日</w:t>
      </w:r>
    </w:p>
    <w:p>
      <w:pPr>
        <w:pageBreakBefore w:val="0"/>
        <w:kinsoku/>
        <w:topLinePunct w:val="0"/>
        <w:bidi w:val="0"/>
        <w:spacing w:line="360" w:lineRule="auto"/>
        <w:ind w:firstLine="480"/>
        <w:textAlignment w:val="auto"/>
        <w:rPr>
          <w:color w:val="auto"/>
          <w:highlight w:val="none"/>
        </w:rPr>
      </w:pPr>
      <w:bookmarkStart w:id="185" w:name="_Toc17267"/>
      <w:bookmarkEnd w:id="185"/>
      <w:bookmarkStart w:id="186" w:name="_Toc9259"/>
      <w:bookmarkEnd w:id="186"/>
      <w:bookmarkStart w:id="187" w:name="_Toc493934769"/>
      <w:bookmarkStart w:id="188" w:name="_Toc25780"/>
      <w:bookmarkStart w:id="189" w:name="_Toc505160212"/>
    </w:p>
    <w:p>
      <w:pPr>
        <w:pStyle w:val="6"/>
        <w:pageBreakBefore w:val="0"/>
        <w:kinsoku/>
        <w:topLinePunct w:val="0"/>
        <w:bidi w:val="0"/>
        <w:spacing w:line="360" w:lineRule="auto"/>
        <w:ind w:firstLine="482"/>
        <w:textAlignment w:val="auto"/>
        <w:rPr>
          <w:color w:val="auto"/>
          <w:highlight w:val="none"/>
        </w:rPr>
      </w:pPr>
      <w:r>
        <w:rPr>
          <w:rFonts w:hint="eastAsia"/>
          <w:color w:val="auto"/>
          <w:highlight w:val="none"/>
        </w:rPr>
        <w:br w:type="page"/>
      </w:r>
      <w:r>
        <w:rPr>
          <w:rFonts w:hint="eastAsia"/>
          <w:color w:val="auto"/>
          <w:highlight w:val="none"/>
        </w:rPr>
        <w:t>（二）近年财务状况表</w:t>
      </w:r>
      <w:bookmarkEnd w:id="187"/>
      <w:bookmarkEnd w:id="188"/>
      <w:bookmarkEnd w:id="189"/>
    </w:p>
    <w:p>
      <w:pPr>
        <w:pageBreakBefore w:val="0"/>
        <w:kinsoku/>
        <w:topLinePunct w:val="0"/>
        <w:bidi w:val="0"/>
        <w:spacing w:line="360" w:lineRule="auto"/>
        <w:ind w:firstLine="480"/>
        <w:textAlignment w:val="auto"/>
        <w:rPr>
          <w:rFonts w:hint="eastAsia" w:ascii="Times New Roman" w:hAnsi="Times New Roman" w:eastAsia="宋体" w:cs="宋体"/>
          <w:color w:val="auto"/>
          <w:highlight w:val="none"/>
        </w:rPr>
      </w:pPr>
      <w:r>
        <w:rPr>
          <w:rFonts w:hint="eastAsia" w:cs="宋体"/>
          <w:color w:val="auto"/>
          <w:highlight w:val="none"/>
        </w:rPr>
        <w:t>注：</w:t>
      </w:r>
      <w:r>
        <w:rPr>
          <w:rFonts w:hint="eastAsia" w:ascii="Times New Roman" w:hAnsi="Times New Roman" w:eastAsia="宋体" w:cs="宋体"/>
          <w:color w:val="auto"/>
          <w:highlight w:val="none"/>
          <w:lang w:val="en-US" w:eastAsia="zh-CN"/>
        </w:rPr>
        <w:t>提供</w:t>
      </w:r>
      <w:r>
        <w:rPr>
          <w:rFonts w:hint="eastAsia" w:cs="宋体"/>
          <w:color w:val="auto"/>
          <w:highlight w:val="none"/>
          <w:lang w:val="en-US" w:eastAsia="zh-CN"/>
        </w:rPr>
        <w:t>2023年度</w:t>
      </w:r>
      <w:r>
        <w:rPr>
          <w:rFonts w:hint="eastAsia" w:ascii="Times New Roman" w:hAnsi="Times New Roman" w:eastAsia="宋体" w:cs="宋体"/>
          <w:color w:val="auto"/>
          <w:highlight w:val="none"/>
          <w:lang w:val="en-US" w:eastAsia="zh-CN"/>
        </w:rPr>
        <w:t>经会计师事务所或第三方审计机构审计后的财务报告或</w:t>
      </w:r>
      <w:r>
        <w:rPr>
          <w:rFonts w:hint="eastAsia" w:ascii="Times New Roman" w:hAnsi="Times New Roman" w:eastAsia="宋体" w:cs="宋体"/>
          <w:color w:val="auto"/>
          <w:highlight w:val="none"/>
        </w:rPr>
        <w:t>单位出具承诺证明</w:t>
      </w:r>
      <w:r>
        <w:rPr>
          <w:rFonts w:hint="eastAsia" w:ascii="Times New Roman" w:hAnsi="Times New Roman" w:eastAsia="宋体" w:cs="宋体"/>
          <w:color w:val="auto"/>
          <w:highlight w:val="none"/>
          <w:lang w:eastAsia="zh-CN"/>
        </w:rPr>
        <w:t>并加盖公章</w:t>
      </w:r>
      <w:r>
        <w:rPr>
          <w:rFonts w:hint="eastAsia" w:ascii="Times New Roman" w:hAnsi="Times New Roman" w:eastAsia="宋体" w:cs="宋体"/>
          <w:color w:val="auto"/>
          <w:highlight w:val="none"/>
          <w:lang w:val="en-US" w:eastAsia="zh-CN"/>
        </w:rPr>
        <w:t>，成立不足一年的企业提供财务报表或基本账户开具的银行资信证明。</w:t>
      </w:r>
      <w:r>
        <w:rPr>
          <w:rFonts w:hint="eastAsia" w:ascii="Times New Roman" w:hAnsi="Times New Roman" w:eastAsia="宋体" w:cs="宋体"/>
          <w:color w:val="auto"/>
          <w:highlight w:val="none"/>
        </w:rPr>
        <w:t xml:space="preserve"> </w:t>
      </w:r>
    </w:p>
    <w:p>
      <w:pPr>
        <w:pageBreakBefore w:val="0"/>
        <w:kinsoku/>
        <w:topLinePunct w:val="0"/>
        <w:bidi w:val="0"/>
        <w:spacing w:line="360" w:lineRule="auto"/>
        <w:ind w:firstLine="480"/>
        <w:textAlignment w:val="auto"/>
        <w:rPr>
          <w:rFonts w:hint="eastAsia" w:ascii="Times New Roman" w:hAnsi="Times New Roman" w:eastAsia="宋体" w:cs="宋体"/>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2"/>
        <w:pageBreakBefore w:val="0"/>
        <w:kinsoku/>
        <w:topLinePunct w:val="0"/>
        <w:bidi w:val="0"/>
        <w:spacing w:line="360" w:lineRule="auto"/>
        <w:textAlignment w:val="auto"/>
        <w:rPr>
          <w:rFonts w:hint="eastAsia"/>
          <w:color w:val="auto"/>
          <w:highlight w:val="none"/>
        </w:rPr>
      </w:pPr>
    </w:p>
    <w:p>
      <w:pPr>
        <w:pStyle w:val="6"/>
        <w:pageBreakBefore w:val="0"/>
        <w:kinsoku/>
        <w:topLinePunct w:val="0"/>
        <w:bidi w:val="0"/>
        <w:spacing w:line="360" w:lineRule="auto"/>
        <w:ind w:left="0" w:leftChars="0" w:firstLine="0" w:firstLineChars="0"/>
        <w:jc w:val="center"/>
        <w:textAlignment w:val="auto"/>
        <w:rPr>
          <w:color w:val="auto"/>
          <w:highlight w:val="none"/>
        </w:rPr>
      </w:pPr>
      <w:r>
        <w:rPr>
          <w:rFonts w:hint="eastAsia"/>
          <w:color w:val="auto"/>
          <w:highlight w:val="none"/>
        </w:rPr>
        <w:t>（</w:t>
      </w:r>
      <w:r>
        <w:rPr>
          <w:rFonts w:hint="eastAsia"/>
          <w:color w:val="auto"/>
          <w:highlight w:val="none"/>
          <w:lang w:eastAsia="zh-CN"/>
        </w:rPr>
        <w:t>三</w:t>
      </w:r>
      <w:r>
        <w:rPr>
          <w:rFonts w:hint="eastAsia"/>
          <w:color w:val="auto"/>
          <w:highlight w:val="none"/>
        </w:rPr>
        <w:t>）近年发生的诉讼及仲裁情况</w:t>
      </w:r>
    </w:p>
    <w:p>
      <w:pPr>
        <w:pageBreakBefore w:val="0"/>
        <w:kinsoku/>
        <w:topLinePunct w:val="0"/>
        <w:bidi w:val="0"/>
        <w:spacing w:line="360" w:lineRule="auto"/>
        <w:ind w:firstLine="480"/>
        <w:textAlignment w:val="auto"/>
        <w:rPr>
          <w:color w:val="auto"/>
          <w:highlight w:val="none"/>
        </w:rPr>
      </w:pPr>
      <w:r>
        <w:rPr>
          <w:rFonts w:hint="eastAsia" w:cs="宋体"/>
          <w:color w:val="auto"/>
          <w:highlight w:val="none"/>
        </w:rPr>
        <w:t>注：</w:t>
      </w:r>
      <w:r>
        <w:rPr>
          <w:rFonts w:hint="eastAsia" w:ascii="宋体" w:hAnsi="宋体" w:cs="宋体"/>
          <w:color w:val="auto"/>
          <w:kern w:val="0"/>
          <w:szCs w:val="21"/>
          <w:highlight w:val="none"/>
        </w:rPr>
        <w:t>采购响应人</w:t>
      </w:r>
      <w:r>
        <w:rPr>
          <w:rFonts w:hint="eastAsia"/>
          <w:color w:val="auto"/>
          <w:highlight w:val="none"/>
          <w:lang w:val="en-US" w:eastAsia="zh-CN"/>
        </w:rPr>
        <w:t>2022年</w:t>
      </w:r>
      <w:r>
        <w:rPr>
          <w:rFonts w:hint="eastAsia"/>
          <w:color w:val="auto"/>
          <w:highlight w:val="none"/>
        </w:rPr>
        <w:t>以来发生的诉讼和仲裁情况仅限于其败诉的，且与履行项目</w:t>
      </w:r>
      <w:r>
        <w:rPr>
          <w:rFonts w:hint="eastAsia"/>
          <w:color w:val="auto"/>
          <w:highlight w:val="none"/>
          <w:lang w:val="en-US" w:eastAsia="zh-CN"/>
        </w:rPr>
        <w:t>规划核实</w:t>
      </w:r>
      <w:r>
        <w:rPr>
          <w:rFonts w:hint="eastAsia"/>
          <w:color w:val="auto"/>
          <w:highlight w:val="none"/>
        </w:rPr>
        <w:t>合同有关的案件，不包括调解结案以及未裁决的仲裁或未终审判决的诉讼。</w:t>
      </w:r>
      <w:r>
        <w:rPr>
          <w:rFonts w:hint="eastAsia" w:cs="宋体"/>
          <w:color w:val="auto"/>
          <w:highlight w:val="none"/>
        </w:rPr>
        <w:t>如</w:t>
      </w:r>
      <w:r>
        <w:rPr>
          <w:rFonts w:hint="eastAsia" w:ascii="宋体" w:hAnsi="宋体" w:cs="宋体"/>
          <w:color w:val="auto"/>
          <w:kern w:val="0"/>
          <w:szCs w:val="21"/>
          <w:highlight w:val="none"/>
        </w:rPr>
        <w:t>采购响应人</w:t>
      </w:r>
      <w:r>
        <w:rPr>
          <w:rFonts w:hint="eastAsia" w:cs="宋体"/>
          <w:color w:val="auto"/>
          <w:highlight w:val="none"/>
        </w:rPr>
        <w:t>无规定的败诉案件，则由</w:t>
      </w:r>
      <w:r>
        <w:rPr>
          <w:rFonts w:hint="eastAsia" w:ascii="宋体" w:hAnsi="宋体" w:cs="宋体"/>
          <w:color w:val="auto"/>
          <w:kern w:val="0"/>
          <w:szCs w:val="21"/>
          <w:highlight w:val="none"/>
        </w:rPr>
        <w:t>采购响应人</w:t>
      </w:r>
      <w:r>
        <w:rPr>
          <w:rFonts w:hint="eastAsia" w:cs="宋体"/>
          <w:color w:val="auto"/>
          <w:highlight w:val="none"/>
        </w:rPr>
        <w:t>自行承诺，格式自拟，并加盖</w:t>
      </w:r>
      <w:r>
        <w:rPr>
          <w:rFonts w:hint="eastAsia" w:ascii="宋体" w:hAnsi="宋体" w:cs="宋体"/>
          <w:color w:val="auto"/>
          <w:kern w:val="0"/>
          <w:szCs w:val="21"/>
          <w:highlight w:val="none"/>
        </w:rPr>
        <w:t>采购响应人</w:t>
      </w:r>
      <w:r>
        <w:rPr>
          <w:rFonts w:hint="eastAsia" w:cs="宋体"/>
          <w:color w:val="auto"/>
          <w:highlight w:val="none"/>
        </w:rPr>
        <w:t>单位公章</w:t>
      </w:r>
      <w:r>
        <w:rPr>
          <w:rFonts w:hint="eastAsia"/>
          <w:color w:val="auto"/>
          <w:highlight w:val="none"/>
        </w:rPr>
        <w:t>。</w:t>
      </w:r>
    </w:p>
    <w:p>
      <w:pPr>
        <w:pStyle w:val="2"/>
        <w:pageBreakBefore w:val="0"/>
        <w:kinsoku/>
        <w:topLinePunct w:val="0"/>
        <w:bidi w:val="0"/>
        <w:spacing w:line="360" w:lineRule="auto"/>
        <w:textAlignment w:val="auto"/>
        <w:rPr>
          <w:rFonts w:hint="eastAsia"/>
          <w:color w:val="auto"/>
          <w:highlight w:val="none"/>
        </w:rPr>
      </w:pP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t xml:space="preserve"> </w:t>
      </w:r>
    </w:p>
    <w:p>
      <w:pPr>
        <w:pageBreakBefore w:val="0"/>
        <w:kinsoku/>
        <w:topLinePunct w:val="0"/>
        <w:bidi w:val="0"/>
        <w:spacing w:line="360" w:lineRule="auto"/>
        <w:ind w:firstLine="480"/>
        <w:textAlignment w:val="auto"/>
        <w:rPr>
          <w:color w:val="auto"/>
          <w:highlight w:val="none"/>
        </w:rPr>
      </w:pPr>
      <w:r>
        <w:rPr>
          <w:rFonts w:hint="eastAsia"/>
          <w:color w:val="auto"/>
          <w:highlight w:val="none"/>
        </w:rPr>
        <w:br w:type="page"/>
      </w:r>
      <w:bookmarkStart w:id="190" w:name="_Toc493934772"/>
      <w:bookmarkEnd w:id="190"/>
      <w:bookmarkStart w:id="191" w:name="_Toc14209"/>
      <w:bookmarkEnd w:id="191"/>
      <w:bookmarkStart w:id="192" w:name="_Toc493934771"/>
      <w:bookmarkEnd w:id="192"/>
      <w:bookmarkStart w:id="193" w:name="_Toc3592"/>
      <w:bookmarkEnd w:id="193"/>
      <w:bookmarkStart w:id="194" w:name="_Toc10929"/>
      <w:bookmarkEnd w:id="194"/>
    </w:p>
    <w:p>
      <w:pPr>
        <w:pStyle w:val="5"/>
        <w:pageBreakBefore w:val="0"/>
        <w:numPr>
          <w:ilvl w:val="0"/>
          <w:numId w:val="0"/>
        </w:numPr>
        <w:kinsoku/>
        <w:topLinePunct w:val="0"/>
        <w:bidi w:val="0"/>
        <w:spacing w:line="360" w:lineRule="auto"/>
        <w:ind w:left="480" w:leftChars="0"/>
        <w:jc w:val="center"/>
        <w:textAlignment w:val="auto"/>
        <w:rPr>
          <w:rFonts w:hint="eastAsia" w:ascii="宋体" w:hAnsi="宋体" w:eastAsia="宋体" w:cs="宋体"/>
          <w:color w:val="auto"/>
          <w:highlight w:val="none"/>
        </w:rPr>
      </w:pPr>
      <w:bookmarkStart w:id="195" w:name="_Toc23220"/>
      <w:bookmarkEnd w:id="195"/>
      <w:bookmarkStart w:id="196" w:name="_Toc23762"/>
      <w:bookmarkEnd w:id="196"/>
      <w:bookmarkStart w:id="197" w:name="_Toc493934773"/>
      <w:bookmarkEnd w:id="197"/>
      <w:bookmarkStart w:id="198" w:name="_Toc505160219"/>
      <w:bookmarkStart w:id="199" w:name="_Toc8534"/>
      <w:bookmarkStart w:id="200" w:name="_Toc6905"/>
      <w:bookmarkStart w:id="201" w:name="_Toc20257"/>
      <w:bookmarkStart w:id="202" w:name="_Toc15961"/>
      <w:r>
        <w:rPr>
          <w:rFonts w:hint="eastAsia" w:ascii="宋体" w:hAnsi="宋体" w:cs="宋体"/>
          <w:color w:val="auto"/>
          <w:highlight w:val="none"/>
          <w:lang w:val="en-US" w:eastAsia="zh-CN"/>
        </w:rPr>
        <w:t>六、</w:t>
      </w:r>
      <w:r>
        <w:rPr>
          <w:rFonts w:hint="eastAsia" w:ascii="宋体" w:hAnsi="宋体" w:eastAsia="宋体" w:cs="宋体"/>
          <w:color w:val="auto"/>
          <w:highlight w:val="none"/>
        </w:rPr>
        <w:t>其他资料</w:t>
      </w:r>
      <w:bookmarkEnd w:id="198"/>
      <w:bookmarkEnd w:id="199"/>
      <w:bookmarkEnd w:id="200"/>
      <w:bookmarkEnd w:id="201"/>
      <w:bookmarkEnd w:id="202"/>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hint="eastAsia" w:cs="宋体"/>
          <w:color w:val="auto"/>
          <w:spacing w:val="-1"/>
          <w:highlight w:val="none"/>
        </w:rPr>
      </w:pPr>
    </w:p>
    <w:p>
      <w:pPr>
        <w:pageBreakBefore w:val="0"/>
        <w:kinsoku/>
        <w:topLinePunct w:val="0"/>
        <w:bidi w:val="0"/>
        <w:spacing w:line="360" w:lineRule="auto"/>
        <w:ind w:firstLine="480"/>
        <w:jc w:val="center"/>
        <w:textAlignment w:val="auto"/>
        <w:rPr>
          <w:rFonts w:cs="宋体"/>
          <w:color w:val="auto"/>
          <w:highlight w:val="none"/>
        </w:rPr>
      </w:pPr>
      <w:r>
        <w:rPr>
          <w:rFonts w:hint="eastAsia" w:cs="宋体"/>
          <w:color w:val="auto"/>
          <w:spacing w:val="-1"/>
          <w:highlight w:val="none"/>
        </w:rPr>
        <w:t>不良行为记录承诺书</w:t>
      </w:r>
    </w:p>
    <w:p>
      <w:pPr>
        <w:pageBreakBefore w:val="0"/>
        <w:kinsoku/>
        <w:topLinePunct w:val="0"/>
        <w:bidi w:val="0"/>
        <w:spacing w:before="136" w:line="360" w:lineRule="auto"/>
        <w:ind w:firstLine="476"/>
        <w:textAlignment w:val="auto"/>
        <w:rPr>
          <w:rFonts w:cs="宋体"/>
          <w:color w:val="auto"/>
          <w:highlight w:val="none"/>
        </w:rPr>
      </w:pPr>
      <w:r>
        <w:rPr>
          <w:rFonts w:hint="eastAsia" w:cs="宋体"/>
          <w:color w:val="auto"/>
          <w:spacing w:val="-1"/>
          <w:highlight w:val="none"/>
        </w:rPr>
        <w:t>（</w:t>
      </w:r>
      <w:r>
        <w:rPr>
          <w:rFonts w:hint="eastAsia" w:cs="宋体"/>
          <w:color w:val="auto"/>
          <w:highlight w:val="none"/>
        </w:rPr>
        <w:t>采购人名称）：</w:t>
      </w:r>
    </w:p>
    <w:p>
      <w:pPr>
        <w:pageBreakBefore w:val="0"/>
        <w:kinsoku/>
        <w:topLinePunct w:val="0"/>
        <w:bidi w:val="0"/>
        <w:spacing w:before="136" w:line="360" w:lineRule="auto"/>
        <w:ind w:firstLine="524"/>
        <w:textAlignment w:val="auto"/>
        <w:rPr>
          <w:rFonts w:cs="宋体"/>
          <w:color w:val="auto"/>
          <w:highlight w:val="none"/>
        </w:rPr>
      </w:pPr>
      <w:r>
        <w:rPr>
          <w:rFonts w:hint="eastAsia" w:cs="宋体"/>
          <w:color w:val="auto"/>
          <w:spacing w:val="11"/>
          <w:highlight w:val="none"/>
        </w:rPr>
        <w:t>我公司承诺自</w:t>
      </w:r>
      <w:r>
        <w:rPr>
          <w:rFonts w:hint="eastAsia" w:cs="宋体"/>
          <w:color w:val="auto"/>
          <w:spacing w:val="11"/>
          <w:highlight w:val="none"/>
          <w:lang w:eastAsia="zh-CN"/>
        </w:rPr>
        <w:t>20</w:t>
      </w:r>
      <w:r>
        <w:rPr>
          <w:rFonts w:hint="eastAsia" w:cs="宋体"/>
          <w:color w:val="auto"/>
          <w:spacing w:val="11"/>
          <w:highlight w:val="none"/>
          <w:lang w:val="en-US" w:eastAsia="zh-CN"/>
        </w:rPr>
        <w:t>22</w:t>
      </w:r>
      <w:r>
        <w:rPr>
          <w:rFonts w:hint="eastAsia" w:cs="宋体"/>
          <w:color w:val="auto"/>
          <w:spacing w:val="11"/>
          <w:highlight w:val="none"/>
        </w:rPr>
        <w:t>年1月1日</w:t>
      </w:r>
      <w:r>
        <w:rPr>
          <w:rFonts w:hint="eastAsia" w:cs="宋体"/>
          <w:color w:val="auto"/>
          <w:highlight w:val="none"/>
        </w:rPr>
        <w:t>（近三年</w:t>
      </w:r>
      <w:r>
        <w:rPr>
          <w:rFonts w:hint="eastAsia" w:cs="宋体"/>
          <w:color w:val="auto"/>
          <w:spacing w:val="-45"/>
          <w:highlight w:val="none"/>
        </w:rPr>
        <w:t>）</w:t>
      </w:r>
      <w:r>
        <w:rPr>
          <w:rFonts w:hint="eastAsia" w:cs="宋体"/>
          <w:color w:val="auto"/>
          <w:spacing w:val="-5"/>
          <w:highlight w:val="none"/>
        </w:rPr>
        <w:t>至响应文件递交截止时间内，在工程建设过程中</w:t>
      </w:r>
      <w:r>
        <w:rPr>
          <w:rFonts w:hint="eastAsia" w:cs="宋体"/>
          <w:color w:val="auto"/>
          <w:highlight w:val="none"/>
        </w:rPr>
        <w:t>（填有或无）</w:t>
      </w:r>
      <w:r>
        <w:rPr>
          <w:rFonts w:hint="eastAsia" w:cs="宋体"/>
          <w:color w:val="auto"/>
          <w:spacing w:val="-1"/>
          <w:highlight w:val="none"/>
        </w:rPr>
        <w:t>不良行为记录，情况如下表：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431"/>
        <w:gridCol w:w="1380"/>
        <w:gridCol w:w="1812"/>
        <w:gridCol w:w="143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序号</w:t>
            </w:r>
          </w:p>
        </w:tc>
        <w:tc>
          <w:tcPr>
            <w:tcW w:w="1431"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情况简介</w:t>
            </w:r>
          </w:p>
        </w:tc>
        <w:tc>
          <w:tcPr>
            <w:tcW w:w="1380"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发生时间</w:t>
            </w:r>
          </w:p>
        </w:tc>
        <w:tc>
          <w:tcPr>
            <w:tcW w:w="1812"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被何部门处罚</w:t>
            </w:r>
          </w:p>
        </w:tc>
        <w:tc>
          <w:tcPr>
            <w:tcW w:w="1437"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处罚意见</w:t>
            </w:r>
          </w:p>
        </w:tc>
        <w:tc>
          <w:tcPr>
            <w:tcW w:w="1591"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是否被禁止或限制投标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不良行为记录1</w:t>
            </w:r>
          </w:p>
        </w:tc>
        <w:tc>
          <w:tcPr>
            <w:tcW w:w="1431" w:type="dxa"/>
            <w:vAlign w:val="center"/>
          </w:tcPr>
          <w:p>
            <w:pPr>
              <w:pStyle w:val="84"/>
              <w:pageBreakBefore w:val="0"/>
              <w:kinsoku/>
              <w:topLinePunct w:val="0"/>
              <w:bidi w:val="0"/>
              <w:spacing w:line="360" w:lineRule="auto"/>
              <w:jc w:val="center"/>
              <w:textAlignment w:val="auto"/>
              <w:rPr>
                <w:color w:val="auto"/>
                <w:highlight w:val="none"/>
              </w:rPr>
            </w:pPr>
          </w:p>
        </w:tc>
        <w:tc>
          <w:tcPr>
            <w:tcW w:w="1380" w:type="dxa"/>
            <w:vAlign w:val="center"/>
          </w:tcPr>
          <w:p>
            <w:pPr>
              <w:pStyle w:val="84"/>
              <w:pageBreakBefore w:val="0"/>
              <w:kinsoku/>
              <w:topLinePunct w:val="0"/>
              <w:bidi w:val="0"/>
              <w:spacing w:line="360" w:lineRule="auto"/>
              <w:jc w:val="center"/>
              <w:textAlignment w:val="auto"/>
              <w:rPr>
                <w:color w:val="auto"/>
                <w:highlight w:val="none"/>
              </w:rPr>
            </w:pPr>
          </w:p>
        </w:tc>
        <w:tc>
          <w:tcPr>
            <w:tcW w:w="1812" w:type="dxa"/>
            <w:vAlign w:val="center"/>
          </w:tcPr>
          <w:p>
            <w:pPr>
              <w:pStyle w:val="84"/>
              <w:pageBreakBefore w:val="0"/>
              <w:kinsoku/>
              <w:topLinePunct w:val="0"/>
              <w:bidi w:val="0"/>
              <w:spacing w:line="360" w:lineRule="auto"/>
              <w:jc w:val="center"/>
              <w:textAlignment w:val="auto"/>
              <w:rPr>
                <w:color w:val="auto"/>
                <w:highlight w:val="none"/>
              </w:rPr>
            </w:pPr>
          </w:p>
        </w:tc>
        <w:tc>
          <w:tcPr>
            <w:tcW w:w="1437" w:type="dxa"/>
            <w:vAlign w:val="center"/>
          </w:tcPr>
          <w:p>
            <w:pPr>
              <w:pStyle w:val="84"/>
              <w:pageBreakBefore w:val="0"/>
              <w:kinsoku/>
              <w:topLinePunct w:val="0"/>
              <w:bidi w:val="0"/>
              <w:spacing w:line="360" w:lineRule="auto"/>
              <w:jc w:val="center"/>
              <w:textAlignment w:val="auto"/>
              <w:rPr>
                <w:color w:val="auto"/>
                <w:highlight w:val="none"/>
              </w:rPr>
            </w:pPr>
          </w:p>
        </w:tc>
        <w:tc>
          <w:tcPr>
            <w:tcW w:w="1591" w:type="dxa"/>
            <w:vAlign w:val="center"/>
          </w:tcPr>
          <w:p>
            <w:pPr>
              <w:pStyle w:val="84"/>
              <w:pageBreakBefore w:val="0"/>
              <w:kinsoku/>
              <w:topLinePunct w:val="0"/>
              <w:bidi w:val="0"/>
              <w:spacing w:line="360" w:lineRule="auto"/>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pStyle w:val="84"/>
              <w:pageBreakBefore w:val="0"/>
              <w:kinsoku/>
              <w:topLinePunct w:val="0"/>
              <w:bidi w:val="0"/>
              <w:spacing w:line="360" w:lineRule="auto"/>
              <w:jc w:val="center"/>
              <w:textAlignment w:val="auto"/>
              <w:rPr>
                <w:color w:val="auto"/>
                <w:highlight w:val="none"/>
              </w:rPr>
            </w:pPr>
            <w:r>
              <w:rPr>
                <w:rFonts w:hint="eastAsia"/>
                <w:color w:val="auto"/>
                <w:highlight w:val="none"/>
              </w:rPr>
              <w:t>...</w:t>
            </w:r>
          </w:p>
        </w:tc>
        <w:tc>
          <w:tcPr>
            <w:tcW w:w="1431" w:type="dxa"/>
            <w:vAlign w:val="center"/>
          </w:tcPr>
          <w:p>
            <w:pPr>
              <w:pStyle w:val="84"/>
              <w:pageBreakBefore w:val="0"/>
              <w:kinsoku/>
              <w:topLinePunct w:val="0"/>
              <w:bidi w:val="0"/>
              <w:spacing w:line="360" w:lineRule="auto"/>
              <w:jc w:val="center"/>
              <w:textAlignment w:val="auto"/>
              <w:rPr>
                <w:color w:val="auto"/>
                <w:highlight w:val="none"/>
              </w:rPr>
            </w:pPr>
          </w:p>
        </w:tc>
        <w:tc>
          <w:tcPr>
            <w:tcW w:w="1380" w:type="dxa"/>
            <w:vAlign w:val="center"/>
          </w:tcPr>
          <w:p>
            <w:pPr>
              <w:pStyle w:val="84"/>
              <w:pageBreakBefore w:val="0"/>
              <w:kinsoku/>
              <w:topLinePunct w:val="0"/>
              <w:bidi w:val="0"/>
              <w:spacing w:line="360" w:lineRule="auto"/>
              <w:jc w:val="center"/>
              <w:textAlignment w:val="auto"/>
              <w:rPr>
                <w:color w:val="auto"/>
                <w:highlight w:val="none"/>
              </w:rPr>
            </w:pPr>
          </w:p>
        </w:tc>
        <w:tc>
          <w:tcPr>
            <w:tcW w:w="1812" w:type="dxa"/>
            <w:vAlign w:val="center"/>
          </w:tcPr>
          <w:p>
            <w:pPr>
              <w:pStyle w:val="84"/>
              <w:pageBreakBefore w:val="0"/>
              <w:kinsoku/>
              <w:topLinePunct w:val="0"/>
              <w:bidi w:val="0"/>
              <w:spacing w:line="360" w:lineRule="auto"/>
              <w:jc w:val="center"/>
              <w:textAlignment w:val="auto"/>
              <w:rPr>
                <w:color w:val="auto"/>
                <w:highlight w:val="none"/>
              </w:rPr>
            </w:pPr>
          </w:p>
        </w:tc>
        <w:tc>
          <w:tcPr>
            <w:tcW w:w="1437" w:type="dxa"/>
            <w:vAlign w:val="center"/>
          </w:tcPr>
          <w:p>
            <w:pPr>
              <w:pStyle w:val="84"/>
              <w:pageBreakBefore w:val="0"/>
              <w:kinsoku/>
              <w:topLinePunct w:val="0"/>
              <w:bidi w:val="0"/>
              <w:spacing w:line="360" w:lineRule="auto"/>
              <w:jc w:val="center"/>
              <w:textAlignment w:val="auto"/>
              <w:rPr>
                <w:color w:val="auto"/>
                <w:highlight w:val="none"/>
              </w:rPr>
            </w:pPr>
          </w:p>
        </w:tc>
        <w:tc>
          <w:tcPr>
            <w:tcW w:w="1591" w:type="dxa"/>
            <w:vAlign w:val="center"/>
          </w:tcPr>
          <w:p>
            <w:pPr>
              <w:pStyle w:val="84"/>
              <w:pageBreakBefore w:val="0"/>
              <w:kinsoku/>
              <w:topLinePunct w:val="0"/>
              <w:bidi w:val="0"/>
              <w:spacing w:line="360" w:lineRule="auto"/>
              <w:jc w:val="center"/>
              <w:textAlignment w:val="auto"/>
              <w:rPr>
                <w:color w:val="auto"/>
                <w:highlight w:val="none"/>
              </w:rPr>
            </w:pPr>
          </w:p>
        </w:tc>
      </w:tr>
    </w:tbl>
    <w:p>
      <w:pPr>
        <w:pageBreakBefore w:val="0"/>
        <w:kinsoku/>
        <w:topLinePunct w:val="0"/>
        <w:bidi w:val="0"/>
        <w:spacing w:line="360" w:lineRule="auto"/>
        <w:ind w:firstLine="480"/>
        <w:textAlignment w:val="auto"/>
        <w:rPr>
          <w:rFonts w:cs="宋体"/>
          <w:color w:val="auto"/>
          <w:highlight w:val="none"/>
        </w:rPr>
      </w:pPr>
      <w:r>
        <w:rPr>
          <w:rFonts w:hint="eastAsia" w:cs="宋体"/>
          <w:color w:val="auto"/>
          <w:highlight w:val="none"/>
        </w:rPr>
        <w:t>上述承诺内容如有不实，我方愿意按弄虚作假接受处理，承担由此造成的一切法律责任，自愿放弃本项目成交候选人资格，并承诺赔偿给采购人造成的损失。</w:t>
      </w:r>
    </w:p>
    <w:p>
      <w:pPr>
        <w:pageBreakBefore w:val="0"/>
        <w:kinsoku/>
        <w:topLinePunct w:val="0"/>
        <w:bidi w:val="0"/>
        <w:spacing w:line="360" w:lineRule="auto"/>
        <w:ind w:firstLine="480"/>
        <w:textAlignment w:val="auto"/>
        <w:rPr>
          <w:rFonts w:cs="宋体"/>
          <w:color w:val="auto"/>
          <w:highlight w:val="none"/>
        </w:rPr>
      </w:pPr>
      <w:r>
        <w:rPr>
          <w:rFonts w:hint="eastAsia" w:cs="宋体"/>
          <w:color w:val="auto"/>
          <w:highlight w:val="none"/>
        </w:rPr>
        <w:t>注：不良行为记录是指违反有关工程建设的法律、法规、规章或强制性标准，经县级以上建设行政主管部门或其委托的执法监督机构查实和行政处罚，形成的不良行为记录。</w:t>
      </w:r>
    </w:p>
    <w:p>
      <w:pPr>
        <w:pageBreakBefore w:val="0"/>
        <w:kinsoku/>
        <w:topLinePunct w:val="0"/>
        <w:bidi w:val="0"/>
        <w:spacing w:line="360" w:lineRule="auto"/>
        <w:ind w:firstLine="480"/>
        <w:textAlignment w:val="auto"/>
        <w:rPr>
          <w:rFonts w:cs="宋体"/>
          <w:color w:val="auto"/>
          <w:highlight w:val="none"/>
        </w:rPr>
      </w:pPr>
      <w:r>
        <w:rPr>
          <w:rFonts w:hint="eastAsia" w:cs="宋体"/>
          <w:color w:val="auto"/>
          <w:highlight w:val="none"/>
        </w:rPr>
        <w:t>存在不良行为记录的响应人须逐条如实介绍其自</w:t>
      </w:r>
      <w:r>
        <w:rPr>
          <w:rFonts w:hint="eastAsia" w:cs="宋体"/>
          <w:color w:val="auto"/>
          <w:highlight w:val="none"/>
          <w:lang w:eastAsia="zh-CN"/>
        </w:rPr>
        <w:t>20</w:t>
      </w:r>
      <w:r>
        <w:rPr>
          <w:rFonts w:hint="eastAsia" w:cs="宋体"/>
          <w:color w:val="auto"/>
          <w:highlight w:val="none"/>
          <w:lang w:val="en-US" w:eastAsia="zh-CN"/>
        </w:rPr>
        <w:t>22</w:t>
      </w:r>
      <w:r>
        <w:rPr>
          <w:rFonts w:hint="eastAsia" w:cs="宋体"/>
          <w:color w:val="auto"/>
          <w:highlight w:val="none"/>
        </w:rPr>
        <w:t>年1月1日（近三年）至</w:t>
      </w:r>
      <w:r>
        <w:rPr>
          <w:rFonts w:hint="eastAsia" w:cs="宋体"/>
          <w:color w:val="auto"/>
          <w:spacing w:val="-5"/>
          <w:highlight w:val="none"/>
        </w:rPr>
        <w:t>响应文件递交</w:t>
      </w:r>
      <w:r>
        <w:rPr>
          <w:rFonts w:hint="eastAsia" w:cs="宋体"/>
          <w:color w:val="auto"/>
          <w:highlight w:val="none"/>
        </w:rPr>
        <w:t>截止时间内的全部不良行为记录情况。</w:t>
      </w:r>
    </w:p>
    <w:p>
      <w:pPr>
        <w:pageBreakBefore w:val="0"/>
        <w:kinsoku/>
        <w:topLinePunct w:val="0"/>
        <w:bidi w:val="0"/>
        <w:spacing w:line="360" w:lineRule="auto"/>
        <w:ind w:firstLine="480"/>
        <w:jc w:val="right"/>
        <w:textAlignment w:val="auto"/>
        <w:rPr>
          <w:rFonts w:cs="宋体"/>
          <w:color w:val="auto"/>
          <w:highlight w:val="none"/>
        </w:rPr>
      </w:pPr>
      <w:r>
        <w:rPr>
          <w:rFonts w:hint="eastAsia" w:ascii="宋体" w:hAnsi="宋体" w:cs="宋体"/>
          <w:color w:val="auto"/>
          <w:kern w:val="0"/>
          <w:szCs w:val="21"/>
          <w:highlight w:val="none"/>
        </w:rPr>
        <w:t xml:space="preserve"> 询比采购响应人</w:t>
      </w:r>
      <w:r>
        <w:rPr>
          <w:rFonts w:hint="eastAsia" w:cs="宋体"/>
          <w:color w:val="auto"/>
          <w:highlight w:val="none"/>
        </w:rPr>
        <w:t>：</w:t>
      </w:r>
      <w:r>
        <w:rPr>
          <w:rFonts w:hint="eastAsia" w:cs="宋体"/>
          <w:color w:val="auto"/>
          <w:highlight w:val="none"/>
          <w:u w:val="single"/>
        </w:rPr>
        <w:t xml:space="preserve">                             </w:t>
      </w:r>
      <w:r>
        <w:rPr>
          <w:rFonts w:hint="eastAsia" w:cs="宋体"/>
          <w:color w:val="auto"/>
          <w:highlight w:val="none"/>
        </w:rPr>
        <w:t>（盖单位章）</w:t>
      </w:r>
    </w:p>
    <w:p>
      <w:pPr>
        <w:pageBreakBefore w:val="0"/>
        <w:kinsoku/>
        <w:topLinePunct w:val="0"/>
        <w:bidi w:val="0"/>
        <w:spacing w:before="136" w:line="360" w:lineRule="auto"/>
        <w:ind w:firstLine="480"/>
        <w:jc w:val="right"/>
        <w:textAlignment w:val="auto"/>
        <w:rPr>
          <w:rFonts w:cs="宋体"/>
          <w:color w:val="auto"/>
          <w:highlight w:val="none"/>
        </w:rPr>
      </w:pPr>
      <w:r>
        <w:rPr>
          <w:rFonts w:hint="eastAsia" w:cs="宋体"/>
          <w:color w:val="auto"/>
          <w:highlight w:val="none"/>
        </w:rPr>
        <w:t>法定代表人或其委托代理人：</w:t>
      </w:r>
      <w:r>
        <w:rPr>
          <w:rFonts w:hint="eastAsia" w:cs="宋体"/>
          <w:color w:val="auto"/>
          <w:highlight w:val="none"/>
          <w:u w:val="single"/>
        </w:rPr>
        <w:t xml:space="preserve">               </w:t>
      </w:r>
      <w:r>
        <w:rPr>
          <w:rFonts w:hint="eastAsia" w:cs="宋体"/>
          <w:color w:val="auto"/>
          <w:highlight w:val="none"/>
        </w:rPr>
        <w:t>（签字）</w:t>
      </w:r>
    </w:p>
    <w:p>
      <w:pPr>
        <w:pageBreakBefore w:val="0"/>
        <w:kinsoku/>
        <w:topLinePunct w:val="0"/>
        <w:bidi w:val="0"/>
        <w:spacing w:line="360" w:lineRule="auto"/>
        <w:ind w:firstLine="480"/>
        <w:jc w:val="right"/>
        <w:textAlignment w:val="auto"/>
        <w:rPr>
          <w:color w:val="auto"/>
          <w:highlight w:val="none"/>
        </w:rPr>
      </w:pPr>
      <w:r>
        <w:rPr>
          <w:rFonts w:hint="eastAsia" w:cs="宋体"/>
          <w:color w:val="auto"/>
          <w:highlight w:val="none"/>
        </w:rPr>
        <w:t>日期：   年   月   日</w:t>
      </w:r>
    </w:p>
    <w:p>
      <w:pPr>
        <w:pStyle w:val="35"/>
        <w:pageBreakBefore w:val="0"/>
        <w:kinsoku/>
        <w:topLinePunct w:val="0"/>
        <w:bidi w:val="0"/>
        <w:spacing w:line="360" w:lineRule="auto"/>
        <w:ind w:firstLine="240"/>
        <w:textAlignment w:val="auto"/>
        <w:rPr>
          <w:color w:val="auto"/>
          <w:highlight w:val="none"/>
        </w:rPr>
      </w:pPr>
    </w:p>
    <w:p>
      <w:pPr>
        <w:pageBreakBefore w:val="0"/>
        <w:numPr>
          <w:ilvl w:val="0"/>
          <w:numId w:val="0"/>
        </w:numPr>
        <w:kinsoku/>
        <w:topLinePunct w:val="0"/>
        <w:bidi w:val="0"/>
        <w:spacing w:line="360" w:lineRule="auto"/>
        <w:ind w:left="480" w:leftChars="0"/>
        <w:textAlignment w:val="auto"/>
        <w:rPr>
          <w:rFonts w:hint="eastAsia"/>
          <w:color w:val="auto"/>
          <w:highlight w:val="none"/>
        </w:rPr>
      </w:pPr>
    </w:p>
    <w:p>
      <w:pPr>
        <w:bidi w:val="0"/>
        <w:jc w:val="center"/>
        <w:rPr>
          <w:rFonts w:hint="eastAsia"/>
          <w:b/>
          <w:bCs/>
          <w:color w:val="auto"/>
          <w:sz w:val="28"/>
          <w:szCs w:val="28"/>
          <w:highlight w:val="none"/>
          <w:shd w:val="clear" w:color="auto" w:fill="auto"/>
          <w:lang w:val="en-US" w:eastAsia="zh-CN"/>
        </w:rPr>
      </w:pPr>
    </w:p>
    <w:p>
      <w:pPr>
        <w:bidi w:val="0"/>
        <w:jc w:val="center"/>
        <w:rPr>
          <w:rFonts w:hint="eastAsia"/>
          <w:b/>
          <w:bCs/>
          <w:color w:val="auto"/>
          <w:sz w:val="28"/>
          <w:szCs w:val="28"/>
          <w:highlight w:val="none"/>
          <w:shd w:val="clear" w:color="auto" w:fill="auto"/>
          <w:lang w:val="en-US" w:eastAsia="zh-CN"/>
        </w:rPr>
      </w:pPr>
    </w:p>
    <w:p>
      <w:pPr>
        <w:bidi w:val="0"/>
        <w:jc w:val="center"/>
        <w:rPr>
          <w:rFonts w:hint="eastAsia"/>
          <w:b/>
          <w:bCs/>
          <w:color w:val="auto"/>
          <w:sz w:val="28"/>
          <w:szCs w:val="28"/>
          <w:highlight w:val="none"/>
          <w:shd w:val="clear" w:color="auto" w:fill="auto"/>
          <w:lang w:val="en-US" w:eastAsia="zh-CN"/>
        </w:rPr>
      </w:pPr>
    </w:p>
    <w:p>
      <w:pPr>
        <w:bidi w:val="0"/>
        <w:jc w:val="center"/>
        <w:rPr>
          <w:rFonts w:hint="eastAsia"/>
          <w:b/>
          <w:bCs/>
          <w:color w:val="auto"/>
          <w:sz w:val="28"/>
          <w:szCs w:val="28"/>
          <w:highlight w:val="none"/>
          <w:shd w:val="clear" w:color="auto" w:fill="auto"/>
          <w:lang w:val="en-US" w:eastAsia="zh-CN"/>
        </w:rPr>
      </w:pPr>
    </w:p>
    <w:p>
      <w:pPr>
        <w:bidi w:val="0"/>
        <w:jc w:val="center"/>
        <w:rPr>
          <w:rFonts w:hint="eastAsia"/>
          <w:b/>
          <w:bCs/>
          <w:color w:val="auto"/>
          <w:sz w:val="28"/>
          <w:szCs w:val="28"/>
          <w:highlight w:val="none"/>
          <w:shd w:val="clear" w:color="auto" w:fill="auto"/>
          <w:lang w:val="en-US" w:eastAsia="zh-CN"/>
        </w:rPr>
      </w:pPr>
    </w:p>
    <w:p>
      <w:pPr>
        <w:bidi w:val="0"/>
        <w:jc w:val="center"/>
        <w:rPr>
          <w:rFonts w:hint="eastAsia"/>
          <w:b/>
          <w:bCs/>
          <w:color w:val="auto"/>
          <w:sz w:val="28"/>
          <w:szCs w:val="28"/>
          <w:highlight w:val="none"/>
          <w:shd w:val="clear" w:color="auto" w:fill="auto"/>
          <w:lang w:val="en-US" w:eastAsia="zh-CN"/>
        </w:rPr>
      </w:pPr>
    </w:p>
    <w:p>
      <w:pPr>
        <w:bidi w:val="0"/>
        <w:jc w:val="center"/>
        <w:rPr>
          <w:rFonts w:hint="default"/>
          <w:b/>
          <w:bCs/>
          <w:color w:val="auto"/>
          <w:sz w:val="28"/>
          <w:szCs w:val="28"/>
          <w:highlight w:val="none"/>
          <w:shd w:val="clear" w:color="auto" w:fill="auto"/>
          <w:lang w:val="en-US" w:eastAsia="zh-CN"/>
        </w:rPr>
      </w:pPr>
    </w:p>
    <w:sectPr>
      <w:headerReference r:id="rId9" w:type="default"/>
      <w:footerReference r:id="rId10" w:type="default"/>
      <w:pgSz w:w="11906" w:h="16838"/>
      <w:pgMar w:top="935" w:right="1106"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3"/>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ECRqFHZAQAAsgMAAA4AAAAAAAAA&#10;AQAgAAAAIgEAAGRycy9lMm9Eb2MueG1sUEsFBgAAAAAGAAYAWQEAAG0FA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UH609gBAACyAwAADgAAAAAAAAAB&#10;ACAAAAAiAQAAZHJzL2Uyb0RvYy54bWxQSwUGAAAAAAYABgBZAQAAbAU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EKijrdgBAACyAwAADgAAAAAAAAAB&#10;ACAAAAAiAQAAZHJzL2Uyb0RvYy54bWxQSwUGAAAAAAYABgBZAQAAbAU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thinThickThinSmallGap" w:color="800000" w:sz="18" w:space="1"/>
      </w:pBdr>
      <w:rPr>
        <w:rFonts w:hint="default"/>
        <w:lang w:val="en-US"/>
      </w:rPr>
    </w:pPr>
    <w:r>
      <w:rPr>
        <w:rFonts w:hint="eastAsia"/>
      </w:rPr>
      <w:t xml:space="preserve">郑州自来水投资控股有限公司                    </w:t>
    </w:r>
    <w:r>
      <w:rPr>
        <w:rFonts w:hint="eastAsia"/>
        <w:lang w:val="en-US" w:eastAsia="zh-CN"/>
      </w:rPr>
      <w:t>郑州市石佛水厂改造工程-竣工规划核实、土地核验测绘（二次）</w:t>
    </w: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thinThickThinSmallGap" w:color="800000" w:sz="18" w:space="1"/>
      </w:pBdr>
      <w:rPr>
        <w:rFonts w:hint="default" w:ascii="宋体" w:hAnsi="宋体" w:cs="宋体"/>
        <w:sz w:val="18"/>
        <w:szCs w:val="18"/>
        <w:lang w:val="en-US"/>
      </w:rPr>
    </w:pPr>
    <w:r>
      <w:rPr>
        <w:rFonts w:hint="eastAsia" w:ascii="宋体" w:hAnsi="宋体" w:cs="宋体"/>
        <w:sz w:val="18"/>
        <w:szCs w:val="18"/>
      </w:rPr>
      <w:t>郑州自来水投资控股有限公司</w:t>
    </w:r>
    <w:r>
      <w:rPr>
        <w:rFonts w:hint="eastAsia"/>
        <w:sz w:val="18"/>
        <w:szCs w:val="18"/>
      </w:rPr>
      <w:t xml:space="preserve">  </w:t>
    </w:r>
    <w:r>
      <w:rPr>
        <w:rFonts w:hint="eastAsia"/>
      </w:rPr>
      <w:t xml:space="preserve">             </w:t>
    </w:r>
    <w:r>
      <w:rPr>
        <w:rFonts w:hint="eastAsia"/>
        <w:lang w:val="en-US" w:eastAsia="zh-CN"/>
      </w:rPr>
      <w:t xml:space="preserve">       </w:t>
    </w:r>
    <w:r>
      <w:rPr>
        <w:rFonts w:hint="eastAsia"/>
        <w:sz w:val="18"/>
        <w:szCs w:val="18"/>
        <w:lang w:val="en-US" w:eastAsia="zh-CN"/>
      </w:rPr>
      <w:t xml:space="preserve"> </w:t>
    </w:r>
    <w:r>
      <w:rPr>
        <w:rFonts w:hint="eastAsia" w:ascii="宋体" w:hAnsi="宋体" w:cs="宋体"/>
        <w:sz w:val="18"/>
        <w:szCs w:val="18"/>
        <w:lang w:val="en-US" w:eastAsia="zh-CN"/>
      </w:rPr>
      <w:t>郑州市石佛水厂改造工程-竣工规划核实、土地核验测绘（二次）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thinThickThinSmallGap" w:color="800000" w:sz="18" w:space="1"/>
      </w:pBdr>
      <w:rPr>
        <w:rFonts w:hint="default"/>
        <w:lang w:val="en-US"/>
      </w:rPr>
    </w:pPr>
    <w:r>
      <w:rPr>
        <w:rFonts w:hint="eastAsia"/>
      </w:rPr>
      <w:t xml:space="preserve">郑州自来水投资控股有限公司                    </w:t>
    </w:r>
    <w:r>
      <w:rPr>
        <w:rFonts w:hint="eastAsia"/>
        <w:lang w:val="en-US" w:eastAsia="zh-CN"/>
      </w:rPr>
      <w:t>郑州市石佛水厂改造工程</w:t>
    </w:r>
    <w:r>
      <w:rPr>
        <w:rFonts w:hint="eastAsia"/>
        <w:sz w:val="18"/>
        <w:szCs w:val="18"/>
        <w:lang w:val="en-US" w:eastAsia="zh-CN"/>
      </w:rPr>
      <w:t>-竣工规划核实、土地核验测绘（二次）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94F6"/>
    <w:multiLevelType w:val="singleLevel"/>
    <w:tmpl w:val="D75D94F6"/>
    <w:lvl w:ilvl="0" w:tentative="0">
      <w:start w:val="1"/>
      <w:numFmt w:val="decimal"/>
      <w:suff w:val="space"/>
      <w:lvlText w:val="%1."/>
      <w:lvlJc w:val="left"/>
    </w:lvl>
  </w:abstractNum>
  <w:abstractNum w:abstractNumId="1">
    <w:nsid w:val="421A10B3"/>
    <w:multiLevelType w:val="multilevel"/>
    <w:tmpl w:val="421A10B3"/>
    <w:lvl w:ilvl="0" w:tentative="0">
      <w:start w:val="1"/>
      <w:numFmt w:val="japaneseCounting"/>
      <w:lvlText w:val="第%1条"/>
      <w:lvlJc w:val="left"/>
      <w:pPr>
        <w:tabs>
          <w:tab w:val="left" w:pos="1365"/>
        </w:tabs>
        <w:ind w:left="1365"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DC49CD"/>
    <w:multiLevelType w:val="singleLevel"/>
    <w:tmpl w:val="42DC49CD"/>
    <w:lvl w:ilvl="0" w:tentative="0">
      <w:start w:val="2"/>
      <w:numFmt w:val="chineseCounting"/>
      <w:suff w:val="nothing"/>
      <w:lvlText w:val="%1、"/>
      <w:lvlJc w:val="left"/>
      <w:rPr>
        <w:rFonts w:hint="eastAsia"/>
      </w:rPr>
    </w:lvl>
  </w:abstractNum>
  <w:abstractNum w:abstractNumId="3">
    <w:nsid w:val="66CD051D"/>
    <w:multiLevelType w:val="singleLevel"/>
    <w:tmpl w:val="66CD051D"/>
    <w:lvl w:ilvl="0" w:tentative="0">
      <w:start w:val="1"/>
      <w:numFmt w:val="decimal"/>
      <w:suff w:val="nothing"/>
      <w:lvlText w:val="（%1）"/>
      <w:lvlJc w:val="left"/>
    </w:lvl>
  </w:abstractNum>
  <w:abstractNum w:abstractNumId="4">
    <w:nsid w:val="6DB09E67"/>
    <w:multiLevelType w:val="singleLevel"/>
    <w:tmpl w:val="6DB09E67"/>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Njc0Nzg1ZDFiYzY0NzUzNjRiZTMwMmZmY2JhNTYifQ=="/>
  </w:docVars>
  <w:rsids>
    <w:rsidRoot w:val="00000000"/>
    <w:rsid w:val="01635EEE"/>
    <w:rsid w:val="017A14A4"/>
    <w:rsid w:val="01991DA1"/>
    <w:rsid w:val="01C1077A"/>
    <w:rsid w:val="05841CAD"/>
    <w:rsid w:val="05DA21DB"/>
    <w:rsid w:val="070F27A4"/>
    <w:rsid w:val="0ACA78B1"/>
    <w:rsid w:val="0AE91411"/>
    <w:rsid w:val="0B694584"/>
    <w:rsid w:val="0BAC3296"/>
    <w:rsid w:val="0BE05E49"/>
    <w:rsid w:val="0E7C51A7"/>
    <w:rsid w:val="0E9928AF"/>
    <w:rsid w:val="11547ED0"/>
    <w:rsid w:val="11A200D3"/>
    <w:rsid w:val="12A96663"/>
    <w:rsid w:val="136A2E64"/>
    <w:rsid w:val="13796788"/>
    <w:rsid w:val="138B7A5D"/>
    <w:rsid w:val="139747BE"/>
    <w:rsid w:val="14BC436A"/>
    <w:rsid w:val="150E03D8"/>
    <w:rsid w:val="15D10114"/>
    <w:rsid w:val="16105F3D"/>
    <w:rsid w:val="17AB7995"/>
    <w:rsid w:val="1A5F4731"/>
    <w:rsid w:val="1B377162"/>
    <w:rsid w:val="1BA30688"/>
    <w:rsid w:val="1DB96A5A"/>
    <w:rsid w:val="1DC36ABF"/>
    <w:rsid w:val="1F7B38C2"/>
    <w:rsid w:val="1FA374B9"/>
    <w:rsid w:val="201E2D33"/>
    <w:rsid w:val="21C12C54"/>
    <w:rsid w:val="21F60A3C"/>
    <w:rsid w:val="222D7E8B"/>
    <w:rsid w:val="22D35451"/>
    <w:rsid w:val="22D43519"/>
    <w:rsid w:val="23DD31FF"/>
    <w:rsid w:val="2426071B"/>
    <w:rsid w:val="24C277D2"/>
    <w:rsid w:val="252569A5"/>
    <w:rsid w:val="25616869"/>
    <w:rsid w:val="26025A51"/>
    <w:rsid w:val="295A7369"/>
    <w:rsid w:val="2A5F0B24"/>
    <w:rsid w:val="2AE55AF6"/>
    <w:rsid w:val="2BCA6E0E"/>
    <w:rsid w:val="2CD41EA7"/>
    <w:rsid w:val="2CF26C39"/>
    <w:rsid w:val="2D346327"/>
    <w:rsid w:val="2D463639"/>
    <w:rsid w:val="2F110E08"/>
    <w:rsid w:val="2F397854"/>
    <w:rsid w:val="2FC72527"/>
    <w:rsid w:val="2FCA6A9B"/>
    <w:rsid w:val="30A678ED"/>
    <w:rsid w:val="30BC5028"/>
    <w:rsid w:val="317A272B"/>
    <w:rsid w:val="31906566"/>
    <w:rsid w:val="321F4F72"/>
    <w:rsid w:val="330C2F16"/>
    <w:rsid w:val="3332775C"/>
    <w:rsid w:val="33BA3ECA"/>
    <w:rsid w:val="344438E0"/>
    <w:rsid w:val="345550D4"/>
    <w:rsid w:val="348616F5"/>
    <w:rsid w:val="34967622"/>
    <w:rsid w:val="35E206FE"/>
    <w:rsid w:val="37B241B1"/>
    <w:rsid w:val="38647C33"/>
    <w:rsid w:val="38801DD1"/>
    <w:rsid w:val="3A295674"/>
    <w:rsid w:val="3A3D71A0"/>
    <w:rsid w:val="3AAA40F3"/>
    <w:rsid w:val="3FB812DC"/>
    <w:rsid w:val="3FDD4929"/>
    <w:rsid w:val="405044BA"/>
    <w:rsid w:val="40985086"/>
    <w:rsid w:val="425B238E"/>
    <w:rsid w:val="42A75304"/>
    <w:rsid w:val="42EA436A"/>
    <w:rsid w:val="44EB5DD5"/>
    <w:rsid w:val="453B389E"/>
    <w:rsid w:val="45FC287E"/>
    <w:rsid w:val="46C72632"/>
    <w:rsid w:val="476153B7"/>
    <w:rsid w:val="49403AE8"/>
    <w:rsid w:val="4A237879"/>
    <w:rsid w:val="4AC43C4D"/>
    <w:rsid w:val="4CC91EE3"/>
    <w:rsid w:val="4DEF2E48"/>
    <w:rsid w:val="4E2C20D3"/>
    <w:rsid w:val="4E566E80"/>
    <w:rsid w:val="4EC2486A"/>
    <w:rsid w:val="4EFD3931"/>
    <w:rsid w:val="4F9A707F"/>
    <w:rsid w:val="4FFE0CFF"/>
    <w:rsid w:val="50BA0CA4"/>
    <w:rsid w:val="50EF13EA"/>
    <w:rsid w:val="50F15E30"/>
    <w:rsid w:val="511A7B2B"/>
    <w:rsid w:val="516C26EB"/>
    <w:rsid w:val="5291647C"/>
    <w:rsid w:val="531028B9"/>
    <w:rsid w:val="54A20259"/>
    <w:rsid w:val="54CC26F7"/>
    <w:rsid w:val="55006D3F"/>
    <w:rsid w:val="56EB6A5D"/>
    <w:rsid w:val="57850FC1"/>
    <w:rsid w:val="57E96F36"/>
    <w:rsid w:val="58E313A1"/>
    <w:rsid w:val="59EC124A"/>
    <w:rsid w:val="5ABD0203"/>
    <w:rsid w:val="5C6D416E"/>
    <w:rsid w:val="5CB83334"/>
    <w:rsid w:val="5CEB4C8C"/>
    <w:rsid w:val="5F105E39"/>
    <w:rsid w:val="60534EC2"/>
    <w:rsid w:val="61066D29"/>
    <w:rsid w:val="64D0074C"/>
    <w:rsid w:val="65021683"/>
    <w:rsid w:val="65E22593"/>
    <w:rsid w:val="6628470B"/>
    <w:rsid w:val="694D7AD0"/>
    <w:rsid w:val="6AE70088"/>
    <w:rsid w:val="6E0075E3"/>
    <w:rsid w:val="6E5F0E99"/>
    <w:rsid w:val="6F175338"/>
    <w:rsid w:val="70447F1A"/>
    <w:rsid w:val="70885060"/>
    <w:rsid w:val="70A9111C"/>
    <w:rsid w:val="70E13CA2"/>
    <w:rsid w:val="716C38F8"/>
    <w:rsid w:val="72413B71"/>
    <w:rsid w:val="73551BDB"/>
    <w:rsid w:val="73EB0531"/>
    <w:rsid w:val="744961E4"/>
    <w:rsid w:val="75BF6B42"/>
    <w:rsid w:val="768464E8"/>
    <w:rsid w:val="77885B12"/>
    <w:rsid w:val="78E913CF"/>
    <w:rsid w:val="7D130873"/>
    <w:rsid w:val="7D5C25B1"/>
    <w:rsid w:val="7DD869FA"/>
    <w:rsid w:val="7E4E07D5"/>
    <w:rsid w:val="7E8926D3"/>
    <w:rsid w:val="7EDA4C3E"/>
    <w:rsid w:val="7F3261EE"/>
    <w:rsid w:val="7F367B9E"/>
    <w:rsid w:val="7F4D3657"/>
    <w:rsid w:val="7F623452"/>
    <w:rsid w:val="7FD76275"/>
    <w:rsid w:val="7FFF1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9"/>
    <w:pPr>
      <w:keepNext/>
      <w:keepLines/>
      <w:spacing w:before="340" w:after="330" w:line="576" w:lineRule="auto"/>
      <w:jc w:val="center"/>
      <w:outlineLvl w:val="0"/>
    </w:pPr>
    <w:rPr>
      <w:rFonts w:ascii="Times New Roman" w:hAnsi="Times New Roman" w:eastAsia="宋体"/>
      <w:b/>
      <w:bCs/>
      <w:kern w:val="44"/>
      <w:sz w:val="32"/>
      <w:szCs w:val="44"/>
    </w:rPr>
  </w:style>
  <w:style w:type="paragraph" w:styleId="5">
    <w:name w:val="heading 2"/>
    <w:basedOn w:val="1"/>
    <w:next w:val="1"/>
    <w:link w:val="80"/>
    <w:qFormat/>
    <w:uiPriority w:val="9"/>
    <w:pPr>
      <w:keepNext/>
      <w:keepLines/>
      <w:spacing w:before="260" w:after="260" w:line="360" w:lineRule="auto"/>
      <w:jc w:val="center"/>
      <w:outlineLvl w:val="1"/>
    </w:pPr>
    <w:rPr>
      <w:rFonts w:ascii="Arial" w:hAnsi="Arial" w:eastAsia="宋体"/>
      <w:b/>
      <w:bCs/>
      <w:sz w:val="32"/>
      <w:szCs w:val="32"/>
    </w:rPr>
  </w:style>
  <w:style w:type="paragraph" w:styleId="6">
    <w:name w:val="heading 3"/>
    <w:basedOn w:val="1"/>
    <w:next w:val="1"/>
    <w:link w:val="83"/>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7">
    <w:name w:val="heading 4"/>
    <w:basedOn w:val="1"/>
    <w:next w:val="1"/>
    <w:qFormat/>
    <w:uiPriority w:val="9"/>
    <w:pPr>
      <w:keepNext/>
      <w:keepLines/>
      <w:spacing w:before="280" w:after="290" w:line="372" w:lineRule="auto"/>
      <w:outlineLvl w:val="3"/>
    </w:pPr>
    <w:rPr>
      <w:rFonts w:ascii="Arial" w:hAnsi="Arial" w:eastAsia="黑体"/>
      <w:b/>
      <w:sz w:val="28"/>
    </w:rPr>
  </w:style>
  <w:style w:type="paragraph" w:styleId="8">
    <w:name w:val="heading 5"/>
    <w:basedOn w:val="1"/>
    <w:next w:val="1"/>
    <w:qFormat/>
    <w:uiPriority w:val="0"/>
    <w:pPr>
      <w:keepNext/>
      <w:keepLines/>
      <w:spacing w:before="280" w:after="290" w:line="372" w:lineRule="auto"/>
      <w:outlineLvl w:val="4"/>
    </w:pPr>
    <w:rPr>
      <w:rFonts w:ascii="Calibri" w:hAnsi="Calibri" w:cs="Calibri"/>
      <w:b/>
      <w:bCs/>
      <w:sz w:val="28"/>
      <w:szCs w:val="28"/>
    </w:rPr>
  </w:style>
  <w:style w:type="paragraph" w:styleId="9">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无间隔1"/>
    <w:next w:val="3"/>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
    <w:name w:val="caption"/>
    <w:basedOn w:val="1"/>
    <w:next w:val="1"/>
    <w:qFormat/>
    <w:uiPriority w:val="0"/>
    <w:rPr>
      <w:rFonts w:ascii="Cambria" w:hAnsi="Cambria" w:eastAsia="黑体"/>
      <w:sz w:val="20"/>
      <w:szCs w:val="20"/>
    </w:rPr>
  </w:style>
  <w:style w:type="paragraph" w:styleId="10">
    <w:name w:val="Normal Indent"/>
    <w:basedOn w:val="1"/>
    <w:unhideWhenUsed/>
    <w:qFormat/>
    <w:uiPriority w:val="99"/>
    <w:pPr>
      <w:ind w:firstLine="420" w:firstLineChars="200"/>
    </w:pPr>
  </w:style>
  <w:style w:type="paragraph" w:styleId="11">
    <w:name w:val="annotation text"/>
    <w:basedOn w:val="1"/>
    <w:unhideWhenUsed/>
    <w:qFormat/>
    <w:uiPriority w:val="99"/>
    <w:pPr>
      <w:jc w:val="left"/>
    </w:pPr>
  </w:style>
  <w:style w:type="paragraph" w:styleId="12">
    <w:name w:val="Body Text 3"/>
    <w:basedOn w:val="1"/>
    <w:qFormat/>
    <w:uiPriority w:val="99"/>
    <w:rPr>
      <w:sz w:val="24"/>
    </w:rPr>
  </w:style>
  <w:style w:type="paragraph" w:styleId="13">
    <w:name w:val="Body Text"/>
    <w:basedOn w:val="1"/>
    <w:next w:val="14"/>
    <w:unhideWhenUsed/>
    <w:qFormat/>
    <w:uiPriority w:val="99"/>
    <w:pPr>
      <w:spacing w:after="120"/>
    </w:pPr>
  </w:style>
  <w:style w:type="paragraph" w:customStyle="1" w:styleId="14">
    <w:name w:val="style4"/>
    <w:basedOn w:val="1"/>
    <w:next w:val="15"/>
    <w:qFormat/>
    <w:uiPriority w:val="0"/>
    <w:pPr>
      <w:spacing w:before="280" w:after="280"/>
    </w:pPr>
    <w:rPr>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next w:val="17"/>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contextualSpacing/>
    </w:pPr>
  </w:style>
  <w:style w:type="paragraph" w:styleId="19">
    <w:name w:val="toc 3"/>
    <w:basedOn w:val="1"/>
    <w:next w:val="1"/>
    <w:qFormat/>
    <w:uiPriority w:val="39"/>
    <w:pPr>
      <w:ind w:left="840" w:leftChars="400"/>
    </w:pPr>
  </w:style>
  <w:style w:type="paragraph" w:styleId="20">
    <w:name w:val="Plain Text"/>
    <w:basedOn w:val="1"/>
    <w:unhideWhenUsed/>
    <w:qFormat/>
    <w:uiPriority w:val="99"/>
    <w:rPr>
      <w:rFonts w:ascii="宋体" w:hAnsi="Courier New" w:cs="Courier New"/>
      <w:szCs w:val="21"/>
    </w:rPr>
  </w:style>
  <w:style w:type="paragraph" w:styleId="21">
    <w:name w:val="Date"/>
    <w:basedOn w:val="1"/>
    <w:next w:val="1"/>
    <w:qFormat/>
    <w:uiPriority w:val="0"/>
    <w:pPr>
      <w:ind w:left="100" w:leftChars="2500"/>
    </w:pPr>
  </w:style>
  <w:style w:type="paragraph" w:styleId="22">
    <w:name w:val="Balloon Text"/>
    <w:basedOn w:val="1"/>
    <w:link w:val="53"/>
    <w:unhideWhenUsed/>
    <w:qFormat/>
    <w:uiPriority w:val="99"/>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unhideWhenUsed/>
    <w:qFormat/>
    <w:uiPriority w:val="39"/>
  </w:style>
  <w:style w:type="paragraph" w:styleId="26">
    <w:name w:val="List"/>
    <w:basedOn w:val="1"/>
    <w:qFormat/>
    <w:uiPriority w:val="0"/>
    <w:pPr>
      <w:ind w:left="200" w:hanging="200" w:hangingChars="200"/>
    </w:pPr>
  </w:style>
  <w:style w:type="paragraph" w:styleId="27">
    <w:name w:val="footnote text"/>
    <w:basedOn w:val="1"/>
    <w:unhideWhenUsed/>
    <w:qFormat/>
    <w:uiPriority w:val="99"/>
    <w:pPr>
      <w:snapToGrid w:val="0"/>
    </w:pPr>
    <w:rPr>
      <w:sz w:val="18"/>
    </w:rPr>
  </w:style>
  <w:style w:type="paragraph" w:styleId="28">
    <w:name w:val="Body Text Indent 3"/>
    <w:basedOn w:val="1"/>
    <w:unhideWhenUsed/>
    <w:qFormat/>
    <w:uiPriority w:val="99"/>
    <w:pPr>
      <w:spacing w:after="120"/>
      <w:ind w:left="420" w:leftChars="200"/>
    </w:pPr>
    <w:rPr>
      <w:sz w:val="16"/>
    </w:rPr>
  </w:style>
  <w:style w:type="paragraph" w:styleId="29">
    <w:name w:val="toc 2"/>
    <w:basedOn w:val="1"/>
    <w:next w:val="1"/>
    <w:unhideWhenUsed/>
    <w:qFormat/>
    <w:uiPriority w:val="39"/>
    <w:pPr>
      <w:tabs>
        <w:tab w:val="right" w:leader="dot" w:pos="8993"/>
      </w:tabs>
      <w:spacing w:line="480" w:lineRule="exact"/>
      <w:ind w:left="420" w:leftChars="200"/>
    </w:pPr>
  </w:style>
  <w:style w:type="paragraph" w:styleId="30">
    <w:name w:val="Body Text 2"/>
    <w:basedOn w:val="1"/>
    <w:next w:val="31"/>
    <w:qFormat/>
    <w:uiPriority w:val="0"/>
    <w:pPr>
      <w:adjustRightInd w:val="0"/>
      <w:snapToGrid w:val="0"/>
      <w:spacing w:line="480" w:lineRule="atLeast"/>
    </w:pPr>
    <w:rPr>
      <w:rFonts w:cs="Times New Roman"/>
      <w:sz w:val="28"/>
    </w:rPr>
  </w:style>
  <w:style w:type="paragraph" w:customStyle="1" w:styleId="31">
    <w:name w:val="标书正文居左"/>
    <w:next w:val="32"/>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32">
    <w:name w:val="xl63"/>
    <w:basedOn w:val="1"/>
    <w:next w:val="33"/>
    <w:qFormat/>
    <w:uiPriority w:val="0"/>
    <w:pPr>
      <w:widowControl/>
      <w:shd w:val="clear" w:color="000000" w:fill="FFFFFF"/>
      <w:spacing w:before="280" w:after="280"/>
      <w:jc w:val="center"/>
    </w:pPr>
    <w:rPr>
      <w:rFonts w:ascii="宋体" w:eastAsia="宋体"/>
      <w:color w:val="000000"/>
      <w:sz w:val="24"/>
    </w:rPr>
  </w:style>
  <w:style w:type="paragraph" w:customStyle="1" w:styleId="33">
    <w:name w:val="xl64"/>
    <w:basedOn w:val="1"/>
    <w:next w:val="1"/>
    <w:qFormat/>
    <w:uiPriority w:val="0"/>
    <w:pPr>
      <w:widowControl/>
      <w:shd w:val="clear" w:color="000000" w:fill="FFFFFF"/>
      <w:spacing w:before="280" w:after="280"/>
    </w:pPr>
    <w:rPr>
      <w:rFonts w:ascii="宋体" w:eastAsia="宋体"/>
      <w:color w:val="000000"/>
      <w:sz w:val="24"/>
    </w:rPr>
  </w:style>
  <w:style w:type="paragraph" w:styleId="34">
    <w:name w:val="Normal (Web)"/>
    <w:basedOn w:val="1"/>
    <w:unhideWhenUsed/>
    <w:qFormat/>
    <w:uiPriority w:val="99"/>
    <w:pPr>
      <w:spacing w:line="432" w:lineRule="auto"/>
      <w:jc w:val="left"/>
    </w:pPr>
    <w:rPr>
      <w:kern w:val="0"/>
      <w:sz w:val="24"/>
    </w:rPr>
  </w:style>
  <w:style w:type="paragraph" w:styleId="35">
    <w:name w:val="Body Text First Indent"/>
    <w:basedOn w:val="13"/>
    <w:next w:val="36"/>
    <w:unhideWhenUsed/>
    <w:qFormat/>
    <w:uiPriority w:val="99"/>
    <w:pPr>
      <w:spacing w:line="360" w:lineRule="auto"/>
      <w:ind w:firstLine="420" w:firstLineChars="100"/>
    </w:pPr>
    <w:rPr>
      <w:szCs w:val="21"/>
    </w:rPr>
  </w:style>
  <w:style w:type="paragraph" w:styleId="36">
    <w:name w:val="Body Text First Indent 2"/>
    <w:basedOn w:val="16"/>
    <w:next w:val="1"/>
    <w:qFormat/>
    <w:uiPriority w:val="0"/>
    <w:pPr>
      <w:ind w:firstLine="420" w:firstLineChars="200"/>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unhideWhenUsed/>
    <w:qFormat/>
    <w:uiPriority w:val="99"/>
  </w:style>
  <w:style w:type="character" w:styleId="42">
    <w:name w:val="FollowedHyperlink"/>
    <w:unhideWhenUsed/>
    <w:qFormat/>
    <w:uiPriority w:val="99"/>
    <w:rPr>
      <w:color w:val="333333"/>
      <w:sz w:val="18"/>
      <w:szCs w:val="18"/>
      <w:u w:val="none"/>
    </w:rPr>
  </w:style>
  <w:style w:type="character" w:styleId="43">
    <w:name w:val="Hyperlink"/>
    <w:basedOn w:val="39"/>
    <w:unhideWhenUsed/>
    <w:qFormat/>
    <w:uiPriority w:val="99"/>
    <w:rPr>
      <w:color w:val="333333"/>
      <w:sz w:val="18"/>
      <w:szCs w:val="18"/>
      <w:u w:val="none"/>
    </w:rPr>
  </w:style>
  <w:style w:type="paragraph" w:customStyle="1" w:styleId="44">
    <w:name w:val="目录 11"/>
    <w:basedOn w:val="45"/>
    <w:next w:val="1"/>
    <w:qFormat/>
    <w:uiPriority w:val="39"/>
    <w:pPr>
      <w:tabs>
        <w:tab w:val="right" w:leader="dot" w:pos="9060"/>
      </w:tabs>
      <w:jc w:val="center"/>
    </w:pPr>
  </w:style>
  <w:style w:type="paragraph" w:customStyle="1" w:styleId="45">
    <w:name w:val="正文_0_0_0"/>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_0_0"/>
    <w:basedOn w:val="45"/>
    <w:next w:val="45"/>
    <w:qFormat/>
    <w:uiPriority w:val="0"/>
    <w:pPr>
      <w:adjustRightInd w:val="0"/>
      <w:spacing w:after="60" w:line="360" w:lineRule="atLeast"/>
      <w:ind w:left="72" w:leftChars="30" w:right="30" w:rightChars="30"/>
      <w:jc w:val="center"/>
      <w:textAlignment w:val="baseline"/>
    </w:pPr>
    <w:rPr>
      <w:rFonts w:cs="黑体"/>
      <w:szCs w:val="22"/>
    </w:rPr>
  </w:style>
  <w:style w:type="paragraph" w:customStyle="1" w:styleId="47">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48">
    <w:name w:val="No Spacing1"/>
    <w:basedOn w:val="1"/>
    <w:qFormat/>
    <w:uiPriority w:val="99"/>
    <w:pPr>
      <w:spacing w:line="400" w:lineRule="exact"/>
    </w:pPr>
    <w:rPr>
      <w:sz w:val="24"/>
    </w:rPr>
  </w:style>
  <w:style w:type="paragraph" w:customStyle="1" w:styleId="49">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style3"/>
    <w:basedOn w:val="39"/>
    <w:qFormat/>
    <w:uiPriority w:val="0"/>
  </w:style>
  <w:style w:type="character" w:customStyle="1" w:styleId="51">
    <w:name w:val="标题 3 Char"/>
    <w:link w:val="6"/>
    <w:qFormat/>
    <w:uiPriority w:val="0"/>
    <w:rPr>
      <w:rFonts w:eastAsia="宋体"/>
      <w:b/>
      <w:sz w:val="32"/>
      <w:lang w:val="en-US" w:eastAsia="zh-CN" w:bidi="ar-SA"/>
    </w:rPr>
  </w:style>
  <w:style w:type="character" w:customStyle="1" w:styleId="52">
    <w:name w:val="font11"/>
    <w:qFormat/>
    <w:uiPriority w:val="0"/>
    <w:rPr>
      <w:rFonts w:hint="eastAsia" w:ascii="宋体" w:hAnsi="宋体" w:eastAsia="宋体" w:cs="宋体"/>
      <w:color w:val="000000"/>
      <w:sz w:val="18"/>
      <w:szCs w:val="18"/>
      <w:u w:val="none"/>
    </w:rPr>
  </w:style>
  <w:style w:type="character" w:customStyle="1" w:styleId="53">
    <w:name w:val="批注框文本 Char"/>
    <w:basedOn w:val="39"/>
    <w:link w:val="22"/>
    <w:semiHidden/>
    <w:qFormat/>
    <w:uiPriority w:val="99"/>
    <w:rPr>
      <w:kern w:val="2"/>
      <w:sz w:val="18"/>
      <w:szCs w:val="18"/>
    </w:rPr>
  </w:style>
  <w:style w:type="character" w:customStyle="1" w:styleId="54">
    <w:name w:val="icon_ds"/>
    <w:qFormat/>
    <w:uiPriority w:val="0"/>
  </w:style>
  <w:style w:type="character" w:customStyle="1" w:styleId="55">
    <w:name w:val="font01"/>
    <w:qFormat/>
    <w:uiPriority w:val="0"/>
    <w:rPr>
      <w:rFonts w:hint="eastAsia" w:ascii="宋体" w:hAnsi="宋体" w:eastAsia="宋体" w:cs="宋体"/>
      <w:b/>
      <w:color w:val="000000"/>
      <w:sz w:val="18"/>
      <w:szCs w:val="18"/>
      <w:u w:val="none"/>
    </w:rPr>
  </w:style>
  <w:style w:type="character" w:customStyle="1" w:styleId="56">
    <w:name w:val="正文文本_"/>
    <w:basedOn w:val="39"/>
    <w:link w:val="57"/>
    <w:qFormat/>
    <w:uiPriority w:val="0"/>
    <w:rPr>
      <w:rFonts w:ascii="仿宋" w:hAnsi="仿宋" w:eastAsia="仿宋" w:cs="仿宋"/>
      <w:lang w:val="zh-CN" w:eastAsia="zh-CN" w:bidi="zh-CN"/>
    </w:rPr>
  </w:style>
  <w:style w:type="paragraph" w:customStyle="1" w:styleId="57">
    <w:name w:val="正文文本1"/>
    <w:basedOn w:val="1"/>
    <w:link w:val="56"/>
    <w:qFormat/>
    <w:uiPriority w:val="0"/>
    <w:pPr>
      <w:shd w:val="clear" w:color="auto" w:fill="FFFFFF"/>
      <w:spacing w:line="360" w:lineRule="auto"/>
      <w:jc w:val="distribute"/>
    </w:pPr>
    <w:rPr>
      <w:rFonts w:ascii="仿宋" w:hAnsi="仿宋" w:eastAsia="仿宋" w:cs="仿宋"/>
      <w:kern w:val="0"/>
      <w:sz w:val="20"/>
      <w:szCs w:val="20"/>
      <w:lang w:val="zh-CN" w:bidi="zh-CN"/>
    </w:rPr>
  </w:style>
  <w:style w:type="character" w:customStyle="1" w:styleId="58">
    <w:name w:val="hover16"/>
    <w:basedOn w:val="39"/>
    <w:qFormat/>
    <w:uiPriority w:val="0"/>
  </w:style>
  <w:style w:type="character" w:customStyle="1" w:styleId="59">
    <w:name w:val="icon_gys"/>
    <w:qFormat/>
    <w:uiPriority w:val="0"/>
    <w:rPr>
      <w:sz w:val="21"/>
      <w:szCs w:val="21"/>
    </w:rPr>
  </w:style>
  <w:style w:type="character" w:customStyle="1" w:styleId="60">
    <w:name w:val="font21"/>
    <w:qFormat/>
    <w:uiPriority w:val="0"/>
    <w:rPr>
      <w:rFonts w:hint="default" w:ascii="Times New Roman" w:hAnsi="Times New Roman" w:cs="Times New Roman"/>
      <w:color w:val="000000"/>
      <w:sz w:val="18"/>
      <w:szCs w:val="18"/>
      <w:u w:val="none"/>
    </w:rPr>
  </w:style>
  <w:style w:type="character" w:customStyle="1" w:styleId="61">
    <w:name w:val="fr"/>
    <w:basedOn w:val="39"/>
    <w:qFormat/>
    <w:uiPriority w:val="0"/>
  </w:style>
  <w:style w:type="character" w:customStyle="1" w:styleId="62">
    <w:name w:val="其他_"/>
    <w:basedOn w:val="39"/>
    <w:link w:val="63"/>
    <w:qFormat/>
    <w:uiPriority w:val="0"/>
    <w:rPr>
      <w:rFonts w:ascii="仿宋" w:hAnsi="仿宋" w:eastAsia="仿宋" w:cs="仿宋"/>
      <w:lang w:val="zh-CN" w:eastAsia="zh-CN" w:bidi="zh-CN"/>
    </w:rPr>
  </w:style>
  <w:style w:type="paragraph" w:customStyle="1" w:styleId="63">
    <w:name w:val="其他"/>
    <w:basedOn w:val="1"/>
    <w:link w:val="62"/>
    <w:qFormat/>
    <w:uiPriority w:val="0"/>
    <w:pPr>
      <w:shd w:val="clear" w:color="auto" w:fill="FFFFFF"/>
      <w:spacing w:line="360" w:lineRule="auto"/>
      <w:jc w:val="distribute"/>
    </w:pPr>
    <w:rPr>
      <w:rFonts w:ascii="仿宋" w:hAnsi="仿宋" w:eastAsia="仿宋" w:cs="仿宋"/>
      <w:kern w:val="0"/>
      <w:sz w:val="20"/>
      <w:szCs w:val="20"/>
      <w:lang w:val="zh-CN" w:bidi="zh-CN"/>
    </w:rPr>
  </w:style>
  <w:style w:type="character" w:customStyle="1" w:styleId="64">
    <w:name w:val="hover15"/>
    <w:basedOn w:val="39"/>
    <w:qFormat/>
    <w:uiPriority w:val="0"/>
  </w:style>
  <w:style w:type="character" w:customStyle="1" w:styleId="65">
    <w:name w:val="xiadan"/>
    <w:qFormat/>
    <w:uiPriority w:val="0"/>
    <w:rPr>
      <w:shd w:val="clear" w:color="auto" w:fill="E4393C"/>
    </w:rPr>
  </w:style>
  <w:style w:type="character" w:customStyle="1" w:styleId="66">
    <w:name w:val="icon_ds1"/>
    <w:qFormat/>
    <w:uiPriority w:val="0"/>
    <w:rPr>
      <w:sz w:val="21"/>
      <w:szCs w:val="21"/>
    </w:rPr>
  </w:style>
  <w:style w:type="paragraph" w:customStyle="1" w:styleId="67">
    <w:name w:val="正文（首行缩进） Char"/>
    <w:basedOn w:val="1"/>
    <w:qFormat/>
    <w:uiPriority w:val="0"/>
    <w:pPr>
      <w:spacing w:line="360" w:lineRule="auto"/>
      <w:ind w:firstLine="480" w:firstLineChars="200"/>
    </w:pPr>
    <w:rPr>
      <w:rFonts w:ascii="Arial" w:hAnsi="Arial"/>
      <w:color w:val="000000"/>
      <w:sz w:val="24"/>
    </w:rPr>
  </w:style>
  <w:style w:type="paragraph" w:customStyle="1" w:styleId="68">
    <w:name w:val="xl39"/>
    <w:basedOn w:val="1"/>
    <w:qFormat/>
    <w:uiPriority w:val="0"/>
    <w:pPr>
      <w:widowControl/>
      <w:spacing w:before="100" w:beforeAutospacing="1" w:after="100" w:afterAutospacing="1"/>
      <w:jc w:val="center"/>
      <w:textAlignment w:val="center"/>
    </w:pPr>
    <w:rPr>
      <w:rFonts w:hint="eastAsia" w:ascii="华文细黑" w:hAnsi="华文细黑" w:eastAsia="华文细黑"/>
      <w:kern w:val="0"/>
      <w:sz w:val="32"/>
    </w:rPr>
  </w:style>
  <w:style w:type="paragraph" w:customStyle="1" w:styleId="69">
    <w:name w:val="样式1"/>
    <w:basedOn w:val="26"/>
    <w:qFormat/>
    <w:uiPriority w:val="0"/>
    <w:pPr>
      <w:widowControl/>
      <w:spacing w:beforeLines="50" w:afterLines="50" w:line="440" w:lineRule="exact"/>
      <w:ind w:left="397" w:hanging="113" w:firstLineChars="0"/>
      <w:jc w:val="left"/>
    </w:pPr>
    <w:rPr>
      <w:sz w:val="30"/>
    </w:rPr>
  </w:style>
  <w:style w:type="paragraph" w:customStyle="1" w:styleId="70">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首行缩进2字"/>
    <w:basedOn w:val="1"/>
    <w:qFormat/>
    <w:uiPriority w:val="0"/>
    <w:pPr>
      <w:ind w:firstLine="560" w:firstLineChars="200"/>
    </w:pPr>
    <w:rPr>
      <w:rFonts w:eastAsia="楷体_GB2312"/>
      <w:kern w:val="0"/>
      <w:sz w:val="28"/>
    </w:rPr>
  </w:style>
  <w:style w:type="paragraph" w:customStyle="1" w:styleId="72">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列出段落1"/>
    <w:basedOn w:val="1"/>
    <w:qFormat/>
    <w:uiPriority w:val="1"/>
    <w:pPr>
      <w:ind w:left="428" w:hanging="360"/>
    </w:pPr>
    <w:rPr>
      <w:rFonts w:ascii="宋体" w:hAnsi="宋体" w:cs="宋体"/>
      <w:lang w:val="zh-CN" w:bidi="zh-CN"/>
    </w:rPr>
  </w:style>
  <w:style w:type="paragraph" w:customStyle="1" w:styleId="75">
    <w:name w:val="List Paragraph"/>
    <w:basedOn w:val="1"/>
    <w:qFormat/>
    <w:uiPriority w:val="1"/>
    <w:pPr>
      <w:ind w:left="1972" w:hanging="560"/>
    </w:pPr>
    <w:rPr>
      <w:rFonts w:ascii="楷体" w:hAnsi="楷体" w:eastAsia="楷体" w:cs="楷体"/>
      <w:lang w:val="zh-CN" w:bidi="zh-CN"/>
    </w:rPr>
  </w:style>
  <w:style w:type="paragraph" w:customStyle="1" w:styleId="7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7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9">
    <w:name w:val="样式 标题 2 + Times New Roman 四号 非加粗 段前: 5 磅 段后: 0 磅 行距: 固定值 20..."/>
    <w:basedOn w:val="5"/>
    <w:qFormat/>
    <w:uiPriority w:val="0"/>
    <w:pPr>
      <w:spacing w:before="100" w:after="0" w:line="400" w:lineRule="exact"/>
    </w:pPr>
    <w:rPr>
      <w:rFonts w:ascii="Times New Roman" w:hAnsi="Times New Roman"/>
      <w:b w:val="0"/>
      <w:sz w:val="28"/>
    </w:rPr>
  </w:style>
  <w:style w:type="character" w:customStyle="1" w:styleId="80">
    <w:name w:val="标题 2 Char"/>
    <w:link w:val="5"/>
    <w:qFormat/>
    <w:uiPriority w:val="9"/>
    <w:rPr>
      <w:rFonts w:ascii="Arial" w:hAnsi="Arial" w:eastAsia="宋体"/>
      <w:b/>
      <w:bCs/>
      <w:sz w:val="32"/>
      <w:szCs w:val="32"/>
    </w:rPr>
  </w:style>
  <w:style w:type="character" w:customStyle="1" w:styleId="81">
    <w:name w:val="标题 1 Char1"/>
    <w:link w:val="4"/>
    <w:qFormat/>
    <w:uiPriority w:val="9"/>
    <w:rPr>
      <w:rFonts w:ascii="Times New Roman" w:hAnsi="Times New Roman" w:eastAsia="宋体"/>
      <w:b/>
      <w:bCs/>
      <w:kern w:val="44"/>
      <w:sz w:val="32"/>
      <w:szCs w:val="44"/>
    </w:rPr>
  </w:style>
  <w:style w:type="character" w:customStyle="1" w:styleId="82">
    <w:name w:val="标题 1 字符"/>
    <w:link w:val="4"/>
    <w:qFormat/>
    <w:uiPriority w:val="9"/>
    <w:rPr>
      <w:rFonts w:ascii="Times New Roman" w:hAnsi="Times New Roman" w:eastAsia="宋体"/>
      <w:b/>
      <w:bCs/>
      <w:kern w:val="44"/>
      <w:sz w:val="32"/>
      <w:szCs w:val="44"/>
    </w:rPr>
  </w:style>
  <w:style w:type="character" w:customStyle="1" w:styleId="83">
    <w:name w:val="标题 3 字符"/>
    <w:link w:val="6"/>
    <w:qFormat/>
    <w:uiPriority w:val="0"/>
    <w:rPr>
      <w:rFonts w:eastAsia="宋体"/>
      <w:b/>
      <w:sz w:val="32"/>
      <w:lang w:val="en-US" w:eastAsia="zh-CN" w:bidi="ar-SA"/>
    </w:rPr>
  </w:style>
  <w:style w:type="paragraph" w:customStyle="1" w:styleId="84">
    <w:name w:val="表格文字"/>
    <w:basedOn w:val="1"/>
    <w:qFormat/>
    <w:uiPriority w:val="0"/>
    <w:pPr>
      <w:spacing w:line="400" w:lineRule="exact"/>
    </w:pPr>
  </w:style>
  <w:style w:type="paragraph" w:customStyle="1" w:styleId="85">
    <w:name w:val="无间隔2"/>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2074</Words>
  <Characters>11822</Characters>
  <Lines>98</Lines>
  <Paragraphs>27</Paragraphs>
  <TotalTime>3</TotalTime>
  <ScaleCrop>false</ScaleCrop>
  <LinksUpToDate>false</LinksUpToDate>
  <CharactersWithSpaces>13869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2020-04-13T13:29:00Z</dcterms:created>
  <dc:creator>Administrator</dc:creator>
  <cp:lastModifiedBy>wuyanan</cp:lastModifiedBy>
  <cp:lastPrinted>2025-03-31T04:31:00Z</cp:lastPrinted>
  <dcterms:modified xsi:type="dcterms:W3CDTF">2025-04-14T08:45:28Z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CD8C82AD0D8049C4973AA74A3F4F5BC7</vt:lpwstr>
  </property>
</Properties>
</file>